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D00B" w14:textId="77777777" w:rsidR="003812C9" w:rsidRDefault="003812C9" w:rsidP="0090421D">
      <w:pPr>
        <w:spacing w:after="240"/>
        <w:jc w:val="center"/>
      </w:pPr>
      <w:r>
        <w:t>LA SCUOLA DI CHICAGO</w:t>
      </w:r>
    </w:p>
    <w:p w14:paraId="5CE6DDC8" w14:textId="77777777" w:rsidR="003812C9" w:rsidRDefault="003812C9">
      <w:pPr>
        <w:jc w:val="both"/>
      </w:pPr>
      <w:r>
        <w:t>Il fondatore e principale esponente è</w:t>
      </w:r>
      <w:r w:rsidR="009B15AF">
        <w:t>,</w:t>
      </w:r>
      <w:r>
        <w:t xml:space="preserve"> negli anni </w:t>
      </w:r>
      <w:r w:rsidR="00165443">
        <w:t>Trenta</w:t>
      </w:r>
      <w:r>
        <w:t xml:space="preserve"> del Novecento</w:t>
      </w:r>
      <w:r w:rsidR="009B15AF">
        <w:t>,</w:t>
      </w:r>
      <w:r>
        <w:t xml:space="preserve"> Henry Simons, in genere considerato un sostenitore del </w:t>
      </w:r>
      <w:proofErr w:type="spellStart"/>
      <w:r w:rsidRPr="004C2996">
        <w:rPr>
          <w:i/>
        </w:rPr>
        <w:t>laissez</w:t>
      </w:r>
      <w:proofErr w:type="spellEnd"/>
      <w:r w:rsidRPr="004C2996">
        <w:rPr>
          <w:i/>
        </w:rPr>
        <w:t xml:space="preserve"> faire</w:t>
      </w:r>
      <w:r>
        <w:t xml:space="preserve">, ma la sua opera </w:t>
      </w:r>
      <w:r w:rsidRPr="003812C9">
        <w:t>principale</w:t>
      </w:r>
      <w:r>
        <w:rPr>
          <w:i/>
        </w:rPr>
        <w:t xml:space="preserve"> (A Positive Program for Laissez Faire</w:t>
      </w:r>
      <w:r>
        <w:t>, 1934) è caratterizzata da un diffuso interventismo in campo fiscale, redistributivo e di controllo antitrust delle imprese.</w:t>
      </w:r>
      <w:r w:rsidR="00893CBE">
        <w:t xml:space="preserve"> Gli altri due esponenti della prima generazione sono F. Knight e J. </w:t>
      </w:r>
      <w:proofErr w:type="spellStart"/>
      <w:r w:rsidR="00893CBE">
        <w:t>Viner</w:t>
      </w:r>
      <w:proofErr w:type="spellEnd"/>
      <w:r w:rsidR="00893CBE">
        <w:t>.</w:t>
      </w:r>
    </w:p>
    <w:p w14:paraId="1FD72CCE" w14:textId="3DC1A770" w:rsidR="003812C9" w:rsidRDefault="003812C9" w:rsidP="00914D62">
      <w:pPr>
        <w:ind w:firstLine="284"/>
        <w:jc w:val="both"/>
      </w:pPr>
      <w:r>
        <w:t xml:space="preserve">La seconda generazione della scuola è guidata da Milton Friedman, ed è composta da Theodore Schultz, George </w:t>
      </w:r>
      <w:proofErr w:type="spellStart"/>
      <w:r>
        <w:t>Stigler</w:t>
      </w:r>
      <w:proofErr w:type="spellEnd"/>
      <w:r>
        <w:t xml:space="preserve">, Merton Miller, Ronald </w:t>
      </w:r>
      <w:proofErr w:type="spellStart"/>
      <w:r>
        <w:t>Coase</w:t>
      </w:r>
      <w:proofErr w:type="spellEnd"/>
      <w:r>
        <w:t xml:space="preserve">, Gary Becker, Robert </w:t>
      </w:r>
      <w:proofErr w:type="spellStart"/>
      <w:r>
        <w:t>Fogel</w:t>
      </w:r>
      <w:proofErr w:type="spellEnd"/>
      <w:r>
        <w:t xml:space="preserve">, Robert Lucas, James </w:t>
      </w:r>
      <w:proofErr w:type="spellStart"/>
      <w:r>
        <w:t>Heckman</w:t>
      </w:r>
      <w:proofErr w:type="spellEnd"/>
      <w:r>
        <w:t>.</w:t>
      </w:r>
      <w:r w:rsidR="00B30F61">
        <w:t xml:space="preserve"> </w:t>
      </w:r>
      <w:r w:rsidR="00E61EBA">
        <w:t>Un e</w:t>
      </w:r>
      <w:r w:rsidR="00B30F61">
        <w:t>sponent</w:t>
      </w:r>
      <w:r w:rsidR="00E61EBA">
        <w:t>e</w:t>
      </w:r>
      <w:r w:rsidR="00B30F61">
        <w:t xml:space="preserve"> </w:t>
      </w:r>
      <w:r w:rsidR="00E61EBA">
        <w:t xml:space="preserve">contemporaneo, sotto l’etichetta di </w:t>
      </w:r>
      <w:r w:rsidR="00E61EBA" w:rsidRPr="00E61EBA">
        <w:rPr>
          <w:i/>
          <w:iCs/>
        </w:rPr>
        <w:t xml:space="preserve">market </w:t>
      </w:r>
      <w:proofErr w:type="spellStart"/>
      <w:r w:rsidR="00E61EBA" w:rsidRPr="00E61EBA">
        <w:rPr>
          <w:i/>
          <w:iCs/>
        </w:rPr>
        <w:t>monetarism</w:t>
      </w:r>
      <w:proofErr w:type="spellEnd"/>
      <w:r w:rsidR="00E61EBA">
        <w:t>, è</w:t>
      </w:r>
      <w:r w:rsidR="00B30F61">
        <w:t xml:space="preserve"> Scott Sumner</w:t>
      </w:r>
      <w:r w:rsidR="00E61EBA">
        <w:t>.</w:t>
      </w:r>
    </w:p>
    <w:p w14:paraId="1CDEAAF0" w14:textId="77777777" w:rsidR="003812C9" w:rsidRDefault="003812C9">
      <w:pPr>
        <w:jc w:val="both"/>
      </w:pPr>
    </w:p>
    <w:p w14:paraId="25507355" w14:textId="77777777" w:rsidR="003812C9" w:rsidRDefault="003812C9" w:rsidP="0090421D">
      <w:pPr>
        <w:spacing w:after="120"/>
        <w:jc w:val="center"/>
      </w:pPr>
      <w:r>
        <w:t>IL MONETARISMO</w:t>
      </w:r>
    </w:p>
    <w:p w14:paraId="1A655BEC" w14:textId="77777777" w:rsidR="003812C9" w:rsidRDefault="006C7CB9">
      <w:pPr>
        <w:jc w:val="both"/>
      </w:pPr>
      <w:r>
        <w:t>La dottrina monetarista si riconduce essenzialmente all’insegnamento d</w:t>
      </w:r>
      <w:r w:rsidR="009B15AF">
        <w:t>i</w:t>
      </w:r>
      <w:r>
        <w:t xml:space="preserve"> Milton Friedman</w:t>
      </w:r>
      <w:r w:rsidR="009B15AF">
        <w:rPr>
          <w:rStyle w:val="Rimandonotaapidipagina"/>
        </w:rPr>
        <w:footnoteReference w:id="1"/>
      </w:r>
      <w:r>
        <w:t xml:space="preserve"> </w:t>
      </w:r>
      <w:r w:rsidR="009B15AF">
        <w:t>e</w:t>
      </w:r>
      <w:r w:rsidR="003812C9">
        <w:t xml:space="preserve"> agli sviluppi che</w:t>
      </w:r>
      <w:r>
        <w:t xml:space="preserve"> le sue formulazioni teoriche ricevettero ad </w:t>
      </w:r>
      <w:r w:rsidR="003812C9">
        <w:t xml:space="preserve">opera dei suoi discepoli. </w:t>
      </w:r>
    </w:p>
    <w:p w14:paraId="3D84309F" w14:textId="77777777" w:rsidR="003812C9" w:rsidRDefault="003812C9">
      <w:pPr>
        <w:jc w:val="both"/>
      </w:pPr>
    </w:p>
    <w:p w14:paraId="134A0CF8" w14:textId="46EE8831" w:rsidR="00845D9B" w:rsidRDefault="00165443" w:rsidP="00B90FD5">
      <w:pPr>
        <w:ind w:firstLine="284"/>
        <w:jc w:val="both"/>
      </w:pPr>
      <w:r w:rsidRPr="00165443">
        <w:rPr>
          <w:i/>
        </w:rPr>
        <w:t>Schema walrasiano</w:t>
      </w:r>
      <w:r w:rsidR="003812C9">
        <w:t xml:space="preserve"> - Lo schema di riferimento è quello di </w:t>
      </w:r>
      <w:proofErr w:type="spellStart"/>
      <w:r w:rsidR="003812C9">
        <w:t>Walras</w:t>
      </w:r>
      <w:proofErr w:type="spellEnd"/>
      <w:r w:rsidR="003812C9">
        <w:t>: esiste uno stato “naturale” dell’econ</w:t>
      </w:r>
      <w:r w:rsidR="00B90FD5">
        <w:t xml:space="preserve">omia determinato dal mercato e identificato </w:t>
      </w:r>
      <w:r w:rsidR="003812C9">
        <w:t>con la</w:t>
      </w:r>
      <w:r w:rsidR="00764EA1">
        <w:t xml:space="preserve"> </w:t>
      </w:r>
      <w:r w:rsidR="003812C9">
        <w:t>configurazione</w:t>
      </w:r>
      <w:r w:rsidR="00764EA1">
        <w:t xml:space="preserve"> </w:t>
      </w:r>
      <w:r w:rsidR="003812C9">
        <w:t>di</w:t>
      </w:r>
      <w:r w:rsidR="00764EA1">
        <w:t xml:space="preserve"> </w:t>
      </w:r>
      <w:r w:rsidR="003812C9">
        <w:t>equilib</w:t>
      </w:r>
      <w:r w:rsidR="00914D62">
        <w:t xml:space="preserve">rio generale walrasiana. </w:t>
      </w:r>
      <w:r w:rsidR="00B90FD5">
        <w:t xml:space="preserve">Tale configurazione </w:t>
      </w:r>
      <w:r w:rsidR="00D51566">
        <w:t xml:space="preserve">prevede la </w:t>
      </w:r>
      <w:r w:rsidR="003812C9">
        <w:t>piena occupazione delle risorse grazie alle capacità di autor</w:t>
      </w:r>
      <w:r w:rsidR="00845D9B">
        <w:t xml:space="preserve">egolazione del mercato e alla </w:t>
      </w:r>
      <w:r w:rsidR="003812C9">
        <w:t xml:space="preserve">stabilità di funzionamento del settore privato (anche se il settore privato non è per sua natura stabile, il tentativo di curarne l’instabilità la aggrava anziché </w:t>
      </w:r>
      <w:r w:rsidR="00845D9B">
        <w:t>ridurla</w:t>
      </w:r>
      <w:r w:rsidR="003812C9">
        <w:t xml:space="preserve">). </w:t>
      </w:r>
      <w:r w:rsidR="00845D9B">
        <w:t>Nel medio-lungo periodo i movimenti dell’economia reale – produzione, occupazione, crescita della produttività – sono determinati esclusivamente da fattori reali quali il progresso tecnico, la crescita dell’offerta di lavoro, il tasso di formazione del capitale.</w:t>
      </w:r>
    </w:p>
    <w:p w14:paraId="1AE04B55" w14:textId="77777777" w:rsidR="003812C9" w:rsidRDefault="00845D9B" w:rsidP="00B90FD5">
      <w:pPr>
        <w:ind w:firstLine="284"/>
        <w:jc w:val="both"/>
      </w:pPr>
      <w:r>
        <w:t xml:space="preserve">La piena occupazione </w:t>
      </w:r>
      <w:r w:rsidR="003812C9">
        <w:t>va intesa in senso economico, non tecnico, cioè come situazione nella quale il livello dei pr</w:t>
      </w:r>
      <w:r w:rsidR="00D51566">
        <w:t xml:space="preserve">ezzi è stabile; </w:t>
      </w:r>
      <w:proofErr w:type="gramStart"/>
      <w:r w:rsidR="00D51566">
        <w:t>dunque</w:t>
      </w:r>
      <w:proofErr w:type="gramEnd"/>
      <w:r w:rsidR="00D51566">
        <w:t xml:space="preserve"> vi sarà </w:t>
      </w:r>
      <w:r w:rsidR="00914D62">
        <w:t xml:space="preserve">un </w:t>
      </w:r>
      <w:r w:rsidR="003812C9">
        <w:t>tasso di</w:t>
      </w:r>
      <w:r>
        <w:t xml:space="preserve"> disoccupazione </w:t>
      </w:r>
      <w:r w:rsidR="003812C9">
        <w:t>naturale, cioè fisiologico, frizionale.</w:t>
      </w:r>
    </w:p>
    <w:p w14:paraId="29B6A910" w14:textId="476051C9" w:rsidR="003812C9" w:rsidRDefault="00D51566" w:rsidP="00B90FD5">
      <w:pPr>
        <w:pStyle w:val="p33"/>
        <w:tabs>
          <w:tab w:val="clear" w:pos="720"/>
        </w:tabs>
        <w:spacing w:line="240" w:lineRule="auto"/>
        <w:ind w:firstLine="284"/>
      </w:pPr>
      <w:r>
        <w:t xml:space="preserve">Qualunque caduta della </w:t>
      </w:r>
      <w:r w:rsidR="00914D62">
        <w:t xml:space="preserve">domanda globale </w:t>
      </w:r>
      <w:r w:rsidR="003812C9">
        <w:t>verrebbe</w:t>
      </w:r>
      <w:r w:rsidR="00764EA1">
        <w:t xml:space="preserve"> </w:t>
      </w:r>
      <w:r w:rsidR="003812C9">
        <w:t>riassorbita grazie</w:t>
      </w:r>
      <w:r w:rsidR="00764EA1">
        <w:t xml:space="preserve"> </w:t>
      </w:r>
      <w:r w:rsidR="003812C9">
        <w:t>al</w:t>
      </w:r>
      <w:r w:rsidR="00764EA1">
        <w:t xml:space="preserve"> </w:t>
      </w:r>
      <w:proofErr w:type="spellStart"/>
      <w:r w:rsidR="003812C9">
        <w:rPr>
          <w:i/>
        </w:rPr>
        <w:t>real</w:t>
      </w:r>
      <w:proofErr w:type="spellEnd"/>
      <w:r w:rsidR="00764EA1">
        <w:rPr>
          <w:i/>
        </w:rPr>
        <w:t xml:space="preserve"> </w:t>
      </w:r>
      <w:r w:rsidR="003812C9">
        <w:rPr>
          <w:i/>
        </w:rPr>
        <w:t>balance</w:t>
      </w:r>
      <w:r w:rsidR="00764EA1">
        <w:rPr>
          <w:i/>
        </w:rPr>
        <w:t xml:space="preserve"> </w:t>
      </w:r>
      <w:proofErr w:type="spellStart"/>
      <w:r w:rsidR="003812C9">
        <w:rPr>
          <w:i/>
        </w:rPr>
        <w:t>effect</w:t>
      </w:r>
      <w:proofErr w:type="spellEnd"/>
      <w:r w:rsidR="00764EA1">
        <w:t xml:space="preserve"> </w:t>
      </w:r>
      <w:r w:rsidR="003812C9">
        <w:t>(tramite</w:t>
      </w:r>
      <w:r w:rsidR="00764EA1">
        <w:t xml:space="preserve"> </w:t>
      </w:r>
      <w:r w:rsidR="003812C9">
        <w:t>aggiustamenti</w:t>
      </w:r>
      <w:r w:rsidR="00764EA1">
        <w:t xml:space="preserve"> </w:t>
      </w:r>
      <w:r w:rsidR="003812C9">
        <w:t>di portafoglio che coinvolgono anche i beni reali).</w:t>
      </w:r>
    </w:p>
    <w:p w14:paraId="5F809298" w14:textId="77777777" w:rsidR="003812C9" w:rsidRDefault="003812C9">
      <w:pPr>
        <w:jc w:val="both"/>
      </w:pPr>
    </w:p>
    <w:p w14:paraId="6284AB81" w14:textId="0B71DE19" w:rsidR="00B90FD5" w:rsidRDefault="00165443" w:rsidP="00B90FD5">
      <w:pPr>
        <w:ind w:firstLine="284"/>
        <w:jc w:val="both"/>
      </w:pPr>
      <w:r w:rsidRPr="00165443">
        <w:rPr>
          <w:i/>
        </w:rPr>
        <w:t>Offerta</w:t>
      </w:r>
      <w:r w:rsidR="00764EA1">
        <w:rPr>
          <w:i/>
        </w:rPr>
        <w:t xml:space="preserve"> </w:t>
      </w:r>
      <w:r w:rsidRPr="00165443">
        <w:rPr>
          <w:i/>
        </w:rPr>
        <w:t>di</w:t>
      </w:r>
      <w:r w:rsidR="00764EA1">
        <w:rPr>
          <w:i/>
        </w:rPr>
        <w:t xml:space="preserve"> </w:t>
      </w:r>
      <w:r w:rsidRPr="00165443">
        <w:rPr>
          <w:i/>
        </w:rPr>
        <w:t>moneta</w:t>
      </w:r>
      <w:r>
        <w:t xml:space="preserve"> </w:t>
      </w:r>
      <w:r w:rsidR="00D51566">
        <w:t xml:space="preserve">- Il </w:t>
      </w:r>
      <w:r w:rsidR="003812C9">
        <w:t>termine stess</w:t>
      </w:r>
      <w:r w:rsidR="00D51566">
        <w:t xml:space="preserve">o, “monetaristi”, deriva dalla </w:t>
      </w:r>
      <w:r w:rsidR="003812C9">
        <w:t>grande importanza attribuita da q</w:t>
      </w:r>
      <w:r w:rsidR="00D51566">
        <w:t xml:space="preserve">uesta scuola alla moneta. Essa è un </w:t>
      </w:r>
      <w:r w:rsidR="003812C9">
        <w:rPr>
          <w:i/>
        </w:rPr>
        <w:t>unicum</w:t>
      </w:r>
      <w:r w:rsidR="00D51566">
        <w:t xml:space="preserve"> </w:t>
      </w:r>
      <w:r w:rsidR="003812C9">
        <w:t>difficilmente sostituibile con altre attività finanziarie</w:t>
      </w:r>
      <w:r w:rsidR="003301B0">
        <w:t xml:space="preserve"> (è tenuemente sostituibile con tutte le attività, finanziarie e reali)</w:t>
      </w:r>
      <w:r w:rsidR="00914D62">
        <w:t xml:space="preserve">, </w:t>
      </w:r>
      <w:r w:rsidR="00537A20">
        <w:t xml:space="preserve">ed </w:t>
      </w:r>
      <w:r w:rsidR="003812C9">
        <w:t>è</w:t>
      </w:r>
      <w:r w:rsidR="00764EA1">
        <w:t xml:space="preserve"> </w:t>
      </w:r>
      <w:r w:rsidR="003812C9">
        <w:t>identificabile in mod</w:t>
      </w:r>
      <w:r w:rsidR="00B83B49">
        <w:t xml:space="preserve">o preciso: essa include moneta </w:t>
      </w:r>
      <w:r w:rsidR="003812C9">
        <w:t>lega</w:t>
      </w:r>
      <w:r w:rsidR="00B83B49">
        <w:t xml:space="preserve">le, </w:t>
      </w:r>
      <w:r w:rsidR="003812C9">
        <w:t>depositi a vista e depositi a risparmio (M</w:t>
      </w:r>
      <w:r w:rsidR="003812C9">
        <w:rPr>
          <w:vertAlign w:val="subscript"/>
        </w:rPr>
        <w:t>2</w:t>
      </w:r>
      <w:r w:rsidR="00B83B49">
        <w:t>)</w:t>
      </w:r>
      <w:r w:rsidR="00AB52BA">
        <w:rPr>
          <w:rStyle w:val="Rimandonotaapidipagina"/>
        </w:rPr>
        <w:footnoteReference w:id="2"/>
      </w:r>
      <w:r w:rsidR="00B83B49">
        <w:t xml:space="preserve">. </w:t>
      </w:r>
      <w:r w:rsidR="00DA770B" w:rsidRPr="00DA770B">
        <w:rPr>
          <w:sz w:val="22"/>
          <w:szCs w:val="22"/>
        </w:rPr>
        <w:t xml:space="preserve">In realtà per la scuola di Chicago la definizione di moneta non è stabilita </w:t>
      </w:r>
      <w:r w:rsidR="00DA770B" w:rsidRPr="00DA770B">
        <w:rPr>
          <w:i/>
          <w:sz w:val="22"/>
          <w:szCs w:val="22"/>
        </w:rPr>
        <w:t>a priori</w:t>
      </w:r>
      <w:r w:rsidR="00DA770B" w:rsidRPr="00DA770B">
        <w:rPr>
          <w:sz w:val="22"/>
          <w:szCs w:val="22"/>
        </w:rPr>
        <w:t xml:space="preserve">: in linea con la metodologia positivista ed empirista, </w:t>
      </w:r>
      <w:r w:rsidR="00D91BD3">
        <w:rPr>
          <w:sz w:val="22"/>
          <w:szCs w:val="22"/>
        </w:rPr>
        <w:t>la</w:t>
      </w:r>
      <w:r w:rsidR="00DA770B" w:rsidRPr="00DA770B">
        <w:rPr>
          <w:sz w:val="22"/>
          <w:szCs w:val="22"/>
        </w:rPr>
        <w:t xml:space="preserve"> moneta è l’entità che si correla </w:t>
      </w:r>
      <w:r w:rsidR="00D91BD3">
        <w:rPr>
          <w:sz w:val="22"/>
          <w:szCs w:val="22"/>
        </w:rPr>
        <w:t xml:space="preserve">quantitativamente </w:t>
      </w:r>
      <w:r w:rsidR="00DA770B" w:rsidRPr="00DA770B">
        <w:rPr>
          <w:sz w:val="22"/>
          <w:szCs w:val="22"/>
        </w:rPr>
        <w:t xml:space="preserve">nella maniera </w:t>
      </w:r>
      <w:r w:rsidR="00D91BD3">
        <w:rPr>
          <w:sz w:val="22"/>
          <w:szCs w:val="22"/>
        </w:rPr>
        <w:t>migliore</w:t>
      </w:r>
      <w:r w:rsidR="00DA770B" w:rsidRPr="00DA770B">
        <w:rPr>
          <w:sz w:val="22"/>
          <w:szCs w:val="22"/>
        </w:rPr>
        <w:t xml:space="preserve"> al reddito nazionale.</w:t>
      </w:r>
      <w:r w:rsidR="00DA770B">
        <w:t xml:space="preserve"> </w:t>
      </w:r>
    </w:p>
    <w:p w14:paraId="16B46F59" w14:textId="77777777" w:rsidR="003812C9" w:rsidRDefault="00B83B49" w:rsidP="00B90FD5">
      <w:pPr>
        <w:ind w:firstLine="284"/>
        <w:jc w:val="both"/>
      </w:pPr>
      <w:r>
        <w:t xml:space="preserve">Da ciò consegue che la </w:t>
      </w:r>
      <w:r w:rsidR="003812C9">
        <w:t>moneta, non essendo prossimo sostituto di altre attività fin</w:t>
      </w:r>
      <w:r w:rsidR="00D51566">
        <w:t xml:space="preserve">anziarie, </w:t>
      </w:r>
      <w:r w:rsidR="00914D62">
        <w:t xml:space="preserve">comprende </w:t>
      </w:r>
      <w:r w:rsidR="00537A20">
        <w:t xml:space="preserve">nel </w:t>
      </w:r>
      <w:r>
        <w:t xml:space="preserve">suo spettro </w:t>
      </w:r>
      <w:r w:rsidR="003812C9">
        <w:t>di sostituzione sia attività finanziarie sia beni reali.</w:t>
      </w:r>
    </w:p>
    <w:p w14:paraId="232069FF" w14:textId="77777777" w:rsidR="003812C9" w:rsidRDefault="003812C9" w:rsidP="00B90FD5">
      <w:pPr>
        <w:ind w:firstLine="284"/>
        <w:jc w:val="both"/>
      </w:pPr>
      <w:r>
        <w:t>L’offerta di moneta è un dato esogeno, controllabile dalle autorità monetarie. Queste, infatti, determinano la base monetaria, e il credito totale è un multiplo stabile della base stessa</w:t>
      </w:r>
      <w:r w:rsidR="00E172C9">
        <w:rPr>
          <w:rStyle w:val="Rimandonotaapidipagina"/>
        </w:rPr>
        <w:footnoteReference w:id="3"/>
      </w:r>
      <w:r>
        <w:t>.</w:t>
      </w:r>
      <w:r w:rsidR="00E172C9">
        <w:t xml:space="preserve"> </w:t>
      </w:r>
    </w:p>
    <w:p w14:paraId="2D8F2C1C" w14:textId="77777777" w:rsidR="003812C9" w:rsidRDefault="003812C9">
      <w:pPr>
        <w:jc w:val="both"/>
      </w:pPr>
    </w:p>
    <w:p w14:paraId="689C0B28" w14:textId="5F6AC978" w:rsidR="003812C9" w:rsidRDefault="003812C9" w:rsidP="00A75A2F">
      <w:pPr>
        <w:ind w:firstLine="284"/>
        <w:jc w:val="both"/>
      </w:pPr>
      <w:r w:rsidRPr="00165443">
        <w:rPr>
          <w:i/>
        </w:rPr>
        <w:t>D</w:t>
      </w:r>
      <w:r w:rsidR="00165443" w:rsidRPr="00165443">
        <w:rPr>
          <w:i/>
        </w:rPr>
        <w:t xml:space="preserve">omanda di moneta </w:t>
      </w:r>
      <w:r>
        <w:t>- In accordo con la</w:t>
      </w:r>
      <w:r w:rsidR="00A75A2F">
        <w:t xml:space="preserve"> tradizione neoclassica, per i </w:t>
      </w:r>
      <w:r>
        <w:t>m</w:t>
      </w:r>
      <w:r w:rsidR="00A75A2F">
        <w:t>onetaristi</w:t>
      </w:r>
      <w:r w:rsidR="00D51566">
        <w:t xml:space="preserve"> i soggetti tendono </w:t>
      </w:r>
      <w:r w:rsidR="00914D62">
        <w:t xml:space="preserve">a conseguire </w:t>
      </w:r>
      <w:r>
        <w:t>il massimo livello di soddisfazione</w:t>
      </w:r>
      <w:r w:rsidR="00764EA1">
        <w:t xml:space="preserve"> </w:t>
      </w:r>
      <w:r>
        <w:t>distribuendo</w:t>
      </w:r>
      <w:r w:rsidR="00764EA1">
        <w:t xml:space="preserve"> </w:t>
      </w:r>
      <w:r>
        <w:t>la</w:t>
      </w:r>
      <w:r w:rsidR="00764EA1">
        <w:t xml:space="preserve"> </w:t>
      </w:r>
      <w:r>
        <w:t>propria</w:t>
      </w:r>
      <w:r w:rsidR="00764EA1">
        <w:t xml:space="preserve"> </w:t>
      </w:r>
      <w:r>
        <w:t>ricchezza nelle diverse forme</w:t>
      </w:r>
      <w:r w:rsidR="00764EA1">
        <w:t xml:space="preserve"> </w:t>
      </w:r>
      <w:r>
        <w:t>in</w:t>
      </w:r>
      <w:r w:rsidR="00764EA1">
        <w:t xml:space="preserve"> </w:t>
      </w:r>
      <w:r>
        <w:t>modo</w:t>
      </w:r>
      <w:r w:rsidR="00764EA1">
        <w:t xml:space="preserve"> </w:t>
      </w:r>
      <w:r>
        <w:t>da</w:t>
      </w:r>
      <w:r w:rsidR="00764EA1">
        <w:t xml:space="preserve"> </w:t>
      </w:r>
      <w:r>
        <w:t>uguagliare</w:t>
      </w:r>
      <w:r w:rsidR="00764EA1">
        <w:t xml:space="preserve"> </w:t>
      </w:r>
      <w:r>
        <w:t>l’utilità marginale ponderata di ciascuna di esse:</w:t>
      </w:r>
      <w:r w:rsidR="00764EA1">
        <w:t xml:space="preserve"> </w:t>
      </w:r>
    </w:p>
    <w:p w14:paraId="4564E754" w14:textId="44C37C9D" w:rsidR="003812C9" w:rsidRPr="00A75A2F" w:rsidRDefault="00A75A2F" w:rsidP="00A75A2F">
      <w:pPr>
        <w:jc w:val="both"/>
      </w:pPr>
      <w:r w:rsidRPr="00A75A2F">
        <w:rPr>
          <w:position w:val="-28"/>
        </w:rPr>
        <w:object w:dxaOrig="760" w:dyaOrig="660" w14:anchorId="09984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3pt" o:ole="">
            <v:imagedata r:id="rId8" o:title=""/>
          </v:shape>
          <o:OLEObject Type="Embed" ProgID="Equation.3" ShapeID="_x0000_i1025" DrawAspect="Content" ObjectID="_1749907357" r:id="rId9"/>
        </w:object>
      </w:r>
      <w:r w:rsidR="003812C9" w:rsidRPr="00A75A2F">
        <w:t xml:space="preserve"> = </w:t>
      </w:r>
      <w:r w:rsidR="00E62373" w:rsidRPr="00A75A2F">
        <w:rPr>
          <w:position w:val="-28"/>
        </w:rPr>
        <w:object w:dxaOrig="780" w:dyaOrig="660" w14:anchorId="30E709AF">
          <v:shape id="_x0000_i1026" type="#_x0000_t75" style="width:39pt;height:33pt" o:ole="">
            <v:imagedata r:id="rId10" o:title=""/>
          </v:shape>
          <o:OLEObject Type="Embed" ProgID="Equation.3" ShapeID="_x0000_i1026" DrawAspect="Content" ObjectID="_1749907358" r:id="rId11"/>
        </w:object>
      </w:r>
      <w:r w:rsidR="00D51566">
        <w:t xml:space="preserve"> = ... </w:t>
      </w:r>
      <w:r w:rsidR="00E62373" w:rsidRPr="00A75A2F">
        <w:t xml:space="preserve">= </w:t>
      </w:r>
      <w:r w:rsidR="00E62373" w:rsidRPr="00A75A2F">
        <w:rPr>
          <w:position w:val="-28"/>
        </w:rPr>
        <w:object w:dxaOrig="780" w:dyaOrig="660" w14:anchorId="2A6B5E42">
          <v:shape id="_x0000_i1027" type="#_x0000_t75" style="width:39pt;height:33pt" o:ole="">
            <v:imagedata r:id="rId12" o:title=""/>
          </v:shape>
          <o:OLEObject Type="Embed" ProgID="Equation.3" ShapeID="_x0000_i1027" DrawAspect="Content" ObjectID="_1749907359" r:id="rId13"/>
        </w:object>
      </w:r>
      <w:r w:rsidR="00E62373">
        <w:t xml:space="preserve"> </w:t>
      </w:r>
      <w:r w:rsidR="003812C9">
        <w:t>(distribuzione del consumo fra i singoli beni, del reddito</w:t>
      </w:r>
      <w:r w:rsidR="00764EA1">
        <w:t xml:space="preserve"> </w:t>
      </w:r>
      <w:r w:rsidR="003812C9">
        <w:t>fra consumi e risparmi, del risparmio fra singole forme di impiego).</w:t>
      </w:r>
    </w:p>
    <w:p w14:paraId="4B0B6DA3" w14:textId="2F7478A8" w:rsidR="003812C9" w:rsidRDefault="00A75A2F" w:rsidP="00D51566">
      <w:pPr>
        <w:spacing w:after="120"/>
        <w:ind w:firstLine="284"/>
        <w:jc w:val="both"/>
      </w:pPr>
      <w:r>
        <w:t xml:space="preserve">La </w:t>
      </w:r>
      <w:r w:rsidR="003812C9">
        <w:t>domanda</w:t>
      </w:r>
      <w:r w:rsidR="00764EA1">
        <w:t xml:space="preserve"> </w:t>
      </w:r>
      <w:r w:rsidR="003812C9">
        <w:t xml:space="preserve">di moneta, che non è altro che </w:t>
      </w:r>
      <w:r w:rsidR="00D51566">
        <w:t xml:space="preserve">uno dei tanti modi di detenere </w:t>
      </w:r>
      <w:r w:rsidR="003812C9">
        <w:t>ricchezza, dipenderà dalle varia</w:t>
      </w:r>
      <w:r w:rsidR="00D51566">
        <w:t xml:space="preserve">bili che influenzano le scelte dei soggetti, e cioè </w:t>
      </w:r>
      <w:r w:rsidR="003301B0">
        <w:t xml:space="preserve">(soprattutto) </w:t>
      </w:r>
      <w:r w:rsidR="003812C9">
        <w:t>dalla ricchezza complessiva, dai rendimenti delle sue componenti e dai gusti:</w:t>
      </w:r>
    </w:p>
    <w:p w14:paraId="1079E42E" w14:textId="0FB6D6DC" w:rsidR="003812C9" w:rsidRDefault="003812C9">
      <w:pPr>
        <w:jc w:val="both"/>
      </w:pPr>
      <w:r>
        <w:t>M = f (W, w, i</w:t>
      </w:r>
      <w:r>
        <w:rPr>
          <w:vertAlign w:val="subscript"/>
        </w:rPr>
        <w:t>m</w:t>
      </w:r>
      <w:r>
        <w:t>, i</w:t>
      </w:r>
      <w:r>
        <w:rPr>
          <w:vertAlign w:val="subscript"/>
        </w:rPr>
        <w:t>b</w:t>
      </w:r>
      <w:r>
        <w:t>, i</w:t>
      </w:r>
      <w:r>
        <w:rPr>
          <w:vertAlign w:val="subscript"/>
        </w:rPr>
        <w:t>e</w:t>
      </w:r>
      <w:r w:rsidR="00D51566">
        <w:t>, dP/P, u)</w:t>
      </w:r>
      <w:r>
        <w:t>; dove W = ricchezza (capitale umano, beni capitali</w:t>
      </w:r>
      <w:r w:rsidR="00D51566">
        <w:t xml:space="preserve">, moneta, azioni, obbligazioni ecc.), w = quota di capitale non umano </w:t>
      </w:r>
      <w:r w:rsidR="00914D62">
        <w:t xml:space="preserve">rispetto a </w:t>
      </w:r>
      <w:r>
        <w:t>quello umano, i</w:t>
      </w:r>
      <w:r>
        <w:rPr>
          <w:vertAlign w:val="subscript"/>
        </w:rPr>
        <w:t>m</w:t>
      </w:r>
      <w:r>
        <w:t xml:space="preserve"> = rendimento della moneta (zero per la moneta legale, positivo per i depositi), i</w:t>
      </w:r>
      <w:r>
        <w:rPr>
          <w:vertAlign w:val="subscript"/>
        </w:rPr>
        <w:t>b</w:t>
      </w:r>
      <w:r>
        <w:t xml:space="preserve"> = re</w:t>
      </w:r>
      <w:r w:rsidR="00914D62">
        <w:t>ndimento de</w:t>
      </w:r>
      <w:r w:rsidR="00B67DB2">
        <w:t>i titoli a reddito fisso</w:t>
      </w:r>
      <w:r w:rsidR="00914D62">
        <w:t xml:space="preserve"> </w:t>
      </w:r>
      <w:r w:rsidR="00B67DB2">
        <w:t>(</w:t>
      </w:r>
      <w:r w:rsidR="00914D62">
        <w:t>obbligazioni</w:t>
      </w:r>
      <w:r w:rsidR="00B67DB2">
        <w:t xml:space="preserve">); </w:t>
      </w:r>
      <w:r>
        <w:t>i</w:t>
      </w:r>
      <w:r>
        <w:rPr>
          <w:vertAlign w:val="subscript"/>
        </w:rPr>
        <w:t>e</w:t>
      </w:r>
      <w:r>
        <w:t>= rendimento delle azioni</w:t>
      </w:r>
      <w:r w:rsidR="00B67DB2">
        <w:rPr>
          <w:rStyle w:val="Rimandonotaapidipagina"/>
        </w:rPr>
        <w:footnoteReference w:id="4"/>
      </w:r>
      <w:r>
        <w:t>, dP/P = rendimento</w:t>
      </w:r>
      <w:r w:rsidR="00C62E10">
        <w:t xml:space="preserve"> </w:t>
      </w:r>
      <w:r>
        <w:t>dei beni (dipendente dalla variazione dei prezzi), u = gusti.</w:t>
      </w:r>
      <w:r w:rsidR="00B67DB2">
        <w:t xml:space="preserve"> </w:t>
      </w:r>
    </w:p>
    <w:p w14:paraId="2F3363A5" w14:textId="662D80E7" w:rsidR="003812C9" w:rsidRDefault="00D51566" w:rsidP="00B90FD5">
      <w:pPr>
        <w:ind w:firstLine="284"/>
        <w:jc w:val="both"/>
      </w:pPr>
      <w:r>
        <w:t xml:space="preserve">La ricchezza W, </w:t>
      </w:r>
      <w:r w:rsidR="00914D62">
        <w:t xml:space="preserve">per consentire </w:t>
      </w:r>
      <w:r w:rsidR="00537A20">
        <w:t xml:space="preserve">di </w:t>
      </w:r>
      <w:r w:rsidR="003812C9">
        <w:t>calcolarne il valore, può essere espressa in termini di reddito permanente (</w:t>
      </w:r>
      <w:proofErr w:type="spellStart"/>
      <w:r w:rsidR="003812C9">
        <w:t>Y</w:t>
      </w:r>
      <w:r w:rsidR="003812C9">
        <w:rPr>
          <w:vertAlign w:val="subscript"/>
        </w:rPr>
        <w:t>p</w:t>
      </w:r>
      <w:proofErr w:type="spellEnd"/>
      <w:r>
        <w:t xml:space="preserve">= w · i ) che è il flusso </w:t>
      </w:r>
      <w:r w:rsidR="003812C9">
        <w:t>di reddito goduto stabilmente nel passato e che ci si attende</w:t>
      </w:r>
      <w:r w:rsidR="00764EA1">
        <w:t xml:space="preserve"> </w:t>
      </w:r>
      <w:r w:rsidR="003812C9">
        <w:t>per</w:t>
      </w:r>
      <w:r w:rsidR="00764EA1">
        <w:t xml:space="preserve"> </w:t>
      </w:r>
      <w:r w:rsidR="003812C9">
        <w:t>l</w:t>
      </w:r>
      <w:r w:rsidR="0059690B">
        <w:t>’</w:t>
      </w:r>
      <w:r w:rsidR="003812C9">
        <w:t>avvenire (in pratica, la media dei redditi di più anni).</w:t>
      </w:r>
    </w:p>
    <w:p w14:paraId="61828DDA" w14:textId="77777777" w:rsidR="003812C9" w:rsidRDefault="003812C9">
      <w:pPr>
        <w:jc w:val="both"/>
      </w:pPr>
    </w:p>
    <w:p w14:paraId="6888C706" w14:textId="77777777" w:rsidR="003812C9" w:rsidRPr="00165443" w:rsidRDefault="003812C9">
      <w:pPr>
        <w:jc w:val="both"/>
        <w:rPr>
          <w:i/>
        </w:rPr>
      </w:pPr>
      <w:r w:rsidRPr="00165443">
        <w:rPr>
          <w:i/>
        </w:rPr>
        <w:t>Funzione del consumo</w:t>
      </w:r>
    </w:p>
    <w:p w14:paraId="6248216C" w14:textId="77777777" w:rsidR="003812C9" w:rsidRDefault="003812C9">
      <w:pPr>
        <w:jc w:val="both"/>
      </w:pPr>
      <w:r>
        <w:t>L’ipotesi di Keynes, che nel lungo periodo la frazione di reddito consumata (propensione al consumo) fosse destinata a diminuire (e dunque la propensione al risparmio ad aumentare), era smentita dai dati statistici. Mentre i consumi delle famiglie divise per fasce di reddito, in un dato istante, mostravano che al crescere del reddito la propensione al consumo si riduceva, se si guardava all’andamento nel tempo del rapporto fra consumo e reddito complessivi dell’intera popolazione, esso rimaneva costante.</w:t>
      </w:r>
    </w:p>
    <w:p w14:paraId="043709D3" w14:textId="77777777" w:rsidR="003812C9" w:rsidRDefault="003812C9" w:rsidP="00B90FD5">
      <w:pPr>
        <w:ind w:firstLine="284"/>
        <w:jc w:val="both"/>
      </w:pPr>
      <w:r>
        <w:t>Friedman risolse le difficoltà interpretative introducendo il concetto di “reddito permanente”. Friedman accetta l’impostazione secondo cui il consumo dipende (quasi esclusivamente) dal reddito. Ma non dal reddito corrente, caratterizzato da una notevole variabilità nel tempo</w:t>
      </w:r>
      <w:r w:rsidR="00537A20">
        <w:t xml:space="preserve"> in quanto condizionato da fattori contingenti</w:t>
      </w:r>
      <w:r>
        <w:t>, bensì dal reddito permanente. Esso è il flusso di reddito che ci si attende mediamente per l’avvenire</w:t>
      </w:r>
      <w:r w:rsidR="00537A20">
        <w:t>, cioè nel lungo periodo,</w:t>
      </w:r>
      <w:r>
        <w:t xml:space="preserve"> sulla base dell’esperienza, cioè del reddito goduto stabilmente nel passato: in pratica, è la media ponderata dei redditi dei periodi passati, assegnando un maggior peso ai redditi dei periodi più recenti e pesi via via minori a quelli più lontani.</w:t>
      </w:r>
    </w:p>
    <w:p w14:paraId="4E80921B" w14:textId="4D5E37D5" w:rsidR="003812C9" w:rsidRDefault="003812C9" w:rsidP="00B90FD5">
      <w:pPr>
        <w:ind w:firstLine="284"/>
        <w:jc w:val="both"/>
      </w:pPr>
      <w:proofErr w:type="spellStart"/>
      <w:r w:rsidRPr="003812C9">
        <w:rPr>
          <w:lang w:val="fr-FR"/>
        </w:rPr>
        <w:t>Y</w:t>
      </w:r>
      <w:r w:rsidRPr="003812C9">
        <w:rPr>
          <w:i/>
          <w:lang w:val="fr-FR"/>
        </w:rPr>
        <w:t>p</w:t>
      </w:r>
      <w:proofErr w:type="spellEnd"/>
      <w:r w:rsidRPr="003812C9">
        <w:rPr>
          <w:lang w:val="fr-FR"/>
        </w:rPr>
        <w:t>(</w:t>
      </w:r>
      <w:r w:rsidRPr="003812C9">
        <w:rPr>
          <w:i/>
          <w:lang w:val="fr-FR"/>
        </w:rPr>
        <w:t>t</w:t>
      </w:r>
      <w:r w:rsidRPr="003812C9">
        <w:rPr>
          <w:lang w:val="fr-FR"/>
        </w:rPr>
        <w:t xml:space="preserve">) = </w:t>
      </w:r>
      <w:r>
        <w:sym w:font="Symbol" w:char="F061"/>
      </w:r>
      <w:r w:rsidRPr="003812C9">
        <w:rPr>
          <w:lang w:val="fr-FR"/>
        </w:rPr>
        <w:t xml:space="preserve"> Y</w:t>
      </w:r>
      <w:r w:rsidRPr="003812C9">
        <w:rPr>
          <w:i/>
          <w:lang w:val="fr-FR"/>
        </w:rPr>
        <w:t>t-2</w:t>
      </w:r>
      <w:r w:rsidRPr="003812C9">
        <w:rPr>
          <w:lang w:val="fr-FR"/>
        </w:rPr>
        <w:t xml:space="preserve"> + </w:t>
      </w:r>
      <w:r>
        <w:sym w:font="Symbol" w:char="F062"/>
      </w:r>
      <w:r w:rsidRPr="003812C9">
        <w:rPr>
          <w:lang w:val="fr-FR"/>
        </w:rPr>
        <w:t>Y</w:t>
      </w:r>
      <w:r w:rsidRPr="003812C9">
        <w:rPr>
          <w:i/>
          <w:lang w:val="fr-FR"/>
        </w:rPr>
        <w:t>t-1</w:t>
      </w:r>
      <w:r w:rsidRPr="003812C9">
        <w:rPr>
          <w:lang w:val="fr-FR"/>
        </w:rPr>
        <w:t xml:space="preserve"> + </w:t>
      </w:r>
      <w:r>
        <w:sym w:font="Symbol" w:char="F067"/>
      </w:r>
      <w:proofErr w:type="spellStart"/>
      <w:r w:rsidRPr="003812C9">
        <w:rPr>
          <w:lang w:val="fr-FR"/>
        </w:rPr>
        <w:t>Y</w:t>
      </w:r>
      <w:r w:rsidRPr="003812C9">
        <w:rPr>
          <w:i/>
          <w:lang w:val="fr-FR"/>
        </w:rPr>
        <w:t>t</w:t>
      </w:r>
      <w:proofErr w:type="spellEnd"/>
      <w:r w:rsidRPr="003812C9">
        <w:rPr>
          <w:i/>
          <w:lang w:val="fr-FR"/>
        </w:rPr>
        <w:t xml:space="preserve"> </w:t>
      </w:r>
      <w:r w:rsidR="00D51566">
        <w:rPr>
          <w:lang w:val="fr-FR"/>
        </w:rPr>
        <w:t>+</w:t>
      </w:r>
      <w:proofErr w:type="gramStart"/>
      <w:r w:rsidR="00D51566">
        <w:rPr>
          <w:lang w:val="fr-FR"/>
        </w:rPr>
        <w:t xml:space="preserve">... </w:t>
      </w:r>
      <w:r w:rsidRPr="003812C9">
        <w:rPr>
          <w:lang w:val="fr-FR"/>
        </w:rPr>
        <w:t>,</w:t>
      </w:r>
      <w:proofErr w:type="gramEnd"/>
      <w:r w:rsidR="00764EA1">
        <w:rPr>
          <w:lang w:val="fr-FR"/>
        </w:rPr>
        <w:t xml:space="preserve"> </w:t>
      </w:r>
      <w:r w:rsidRPr="003812C9">
        <w:rPr>
          <w:lang w:val="fr-FR"/>
        </w:rPr>
        <w:t>con</w:t>
      </w:r>
      <w:r w:rsidR="00764EA1">
        <w:rPr>
          <w:lang w:val="fr-FR"/>
        </w:rPr>
        <w:t xml:space="preserve"> </w:t>
      </w:r>
      <w:r>
        <w:sym w:font="Symbol" w:char="F061"/>
      </w:r>
      <w:r>
        <w:sym w:font="Symbol" w:char="F03C"/>
      </w:r>
      <w:r w:rsidRPr="003812C9">
        <w:rPr>
          <w:lang w:val="fr-FR"/>
        </w:rPr>
        <w:t xml:space="preserve"> </w:t>
      </w:r>
      <w:r>
        <w:sym w:font="Symbol" w:char="F062"/>
      </w:r>
      <w:r w:rsidRPr="003812C9">
        <w:rPr>
          <w:lang w:val="fr-FR"/>
        </w:rPr>
        <w:t xml:space="preserve"> </w:t>
      </w:r>
      <w:r>
        <w:sym w:font="Symbol" w:char="F03C"/>
      </w:r>
      <w:r w:rsidRPr="003812C9">
        <w:rPr>
          <w:lang w:val="fr-FR"/>
        </w:rPr>
        <w:t xml:space="preserve"> </w:t>
      </w:r>
      <w:r>
        <w:sym w:font="Symbol" w:char="F067"/>
      </w:r>
      <w:r w:rsidRPr="003812C9">
        <w:rPr>
          <w:lang w:val="fr-FR"/>
        </w:rPr>
        <w:t xml:space="preserve"> </w:t>
      </w:r>
      <w:r>
        <w:sym w:font="Symbol" w:char="F03C"/>
      </w:r>
      <w:r w:rsidRPr="003812C9">
        <w:rPr>
          <w:lang w:val="fr-FR"/>
        </w:rPr>
        <w:t>...</w:t>
      </w:r>
      <w:r w:rsidR="00764EA1">
        <w:rPr>
          <w:lang w:val="fr-FR"/>
        </w:rPr>
        <w:t xml:space="preserve"> </w:t>
      </w:r>
      <w:r>
        <w:t>e</w:t>
      </w:r>
      <w:r w:rsidR="00764EA1">
        <w:t xml:space="preserve"> </w:t>
      </w:r>
      <w:r>
        <w:sym w:font="Symbol" w:char="F061"/>
      </w:r>
      <w:r>
        <w:t xml:space="preserve"> + </w:t>
      </w:r>
      <w:r>
        <w:sym w:font="Symbol" w:char="F062"/>
      </w:r>
      <w:r>
        <w:t xml:space="preserve"> + </w:t>
      </w:r>
      <w:r>
        <w:sym w:font="Symbol" w:char="F067"/>
      </w:r>
      <w:r w:rsidR="00D51566">
        <w:t xml:space="preserve"> +... = 1</w:t>
      </w:r>
      <w:r>
        <w:t>.</w:t>
      </w:r>
    </w:p>
    <w:p w14:paraId="35720753" w14:textId="77777777" w:rsidR="003812C9" w:rsidRDefault="00537A20">
      <w:pPr>
        <w:jc w:val="both"/>
      </w:pPr>
      <w:r>
        <w:t xml:space="preserve">Di conseguenza, </w:t>
      </w:r>
      <w:r w:rsidR="003812C9">
        <w:t>se il reddito di un anno (corrente) è stato particolarmente basso rispetto alla norma, poiché il soggetto guarda al reddito permanente, egli non contrarrà i consumi, e dunque la propensione al consumo sarà molto alta (e addirittura il consumo potrà superare il reddito). Al contrario, se un anno il reddito è stato eccezionalmente alto, il soggetto non aumenterà i propri consumi, che si adeguano al reddito permanente, distribuendosi in maniera uniforme nel tempo; dunque, la propensione al consumo risulterà bassa.</w:t>
      </w:r>
    </w:p>
    <w:p w14:paraId="728FDC1B" w14:textId="77777777" w:rsidR="003812C9" w:rsidRDefault="003812C9" w:rsidP="00B90FD5">
      <w:pPr>
        <w:ind w:firstLine="284"/>
        <w:jc w:val="both"/>
      </w:pPr>
      <w:r>
        <w:t>Ecco spiegato perché, se si guarda al consumo delle famiglie per fasce di reddito in un dato istante, i dati statistici sembrano indicare che la percentuale di reddito consumata si riduca all’aumentare del reddito, mentre se si guarda al consumo complessivo della popolazione nel tempo, la sua incidenza sul reddito resta costante. Dunque, la propensione al consumo è stabile nel tempo, e la relazione che collega consumi e reddito nel lungo periodo è una</w:t>
      </w:r>
      <w:r w:rsidR="00A75A2F">
        <w:t xml:space="preserve"> relazione di </w:t>
      </w:r>
      <w:r w:rsidR="00A75A2F">
        <w:lastRenderedPageBreak/>
        <w:t xml:space="preserve">proporzionalità, </w:t>
      </w:r>
      <w:r>
        <w:t>C = cY</w:t>
      </w:r>
      <w:r>
        <w:rPr>
          <w:i/>
          <w:vertAlign w:val="subscript"/>
        </w:rPr>
        <w:t>p</w:t>
      </w:r>
      <w:r>
        <w:t>. L’ipotesi keynesiana del ristagno secolare, determinato dalla riduzione della quota di reddito consumata e quindi dall’aumento della percentuale di reddito risparmiata, è confutata (teoricamente ed empiricamente).</w:t>
      </w:r>
    </w:p>
    <w:p w14:paraId="13FBF9AA" w14:textId="3FD4D1E4" w:rsidR="003812C9" w:rsidRDefault="00390B68" w:rsidP="007C7AE9">
      <w:pPr>
        <w:ind w:firstLine="284"/>
        <w:jc w:val="both"/>
      </w:pPr>
      <w:r>
        <w:t>Inoltre, se</w:t>
      </w:r>
      <w:r w:rsidR="00C62E10">
        <w:t xml:space="preserve"> </w:t>
      </w:r>
      <w:r>
        <w:t>nel breve termine non vi è una relazione stabile fra reddito e consumo, il moltiplicatore perde efficacia. Secondo Friedman esso è molto più vicino al valore di 1 che non di 4 o 5</w:t>
      </w:r>
      <w:r w:rsidR="009D128A">
        <w:t>.</w:t>
      </w:r>
    </w:p>
    <w:p w14:paraId="44A599FE" w14:textId="77777777" w:rsidR="007C7AE9" w:rsidRDefault="007C7AE9" w:rsidP="00B90FD5">
      <w:pPr>
        <w:spacing w:after="120"/>
        <w:ind w:firstLine="284"/>
        <w:jc w:val="both"/>
      </w:pPr>
      <w:r>
        <w:t xml:space="preserve">Un’altra conseguenza dell’ipotesi del reddito permanente è che riduzioni di imposte giudicate </w:t>
      </w:r>
      <w:r w:rsidR="0090421D">
        <w:t>dagli agenti</w:t>
      </w:r>
      <w:r>
        <w:t xml:space="preserve"> temporanee possono non generare aumenti del consumo.</w:t>
      </w:r>
    </w:p>
    <w:p w14:paraId="201177B2" w14:textId="7DED5D2C" w:rsidR="003812C9" w:rsidRDefault="00D51566" w:rsidP="00B90FD5">
      <w:pPr>
        <w:ind w:firstLine="284"/>
        <w:jc w:val="both"/>
      </w:pPr>
      <w:r>
        <w:t xml:space="preserve">Poiché Friedman </w:t>
      </w:r>
      <w:r w:rsidR="003812C9">
        <w:t>ipotiz</w:t>
      </w:r>
      <w:r w:rsidR="00914D62">
        <w:t xml:space="preserve">za che la moneta </w:t>
      </w:r>
      <w:r w:rsidR="007C7AE9">
        <w:t xml:space="preserve">sia scarsamente sostituibile con le altre </w:t>
      </w:r>
      <w:r w:rsidR="003812C9">
        <w:t>attività finanziari</w:t>
      </w:r>
      <w:r w:rsidR="00A75A2F">
        <w:t xml:space="preserve">e, limitato sarà l’effetto di </w:t>
      </w:r>
      <w:proofErr w:type="spellStart"/>
      <w:r w:rsidR="00A75A2F">
        <w:t>i</w:t>
      </w:r>
      <w:r w:rsidR="003812C9">
        <w:rPr>
          <w:vertAlign w:val="subscript"/>
        </w:rPr>
        <w:t>b</w:t>
      </w:r>
      <w:proofErr w:type="spellEnd"/>
      <w:r w:rsidR="00764EA1">
        <w:rPr>
          <w:vertAlign w:val="subscript"/>
        </w:rPr>
        <w:t xml:space="preserve"> </w:t>
      </w:r>
      <w:r>
        <w:t>e</w:t>
      </w:r>
      <w:r w:rsidR="00764EA1">
        <w:t xml:space="preserve"> </w:t>
      </w:r>
      <w:proofErr w:type="spellStart"/>
      <w:r w:rsidR="00A75A2F">
        <w:t>i</w:t>
      </w:r>
      <w:r w:rsidR="003812C9">
        <w:rPr>
          <w:vertAlign w:val="subscript"/>
        </w:rPr>
        <w:t>e</w:t>
      </w:r>
      <w:proofErr w:type="spellEnd"/>
      <w:r>
        <w:t xml:space="preserve"> </w:t>
      </w:r>
      <w:r w:rsidR="003812C9">
        <w:t>sulla domanda di mon</w:t>
      </w:r>
      <w:r>
        <w:t xml:space="preserve">eta. La variabile chiave nello spiegare </w:t>
      </w:r>
      <w:r w:rsidR="003812C9">
        <w:t xml:space="preserve">la domanda di moneta è il </w:t>
      </w:r>
      <w:r>
        <w:t xml:space="preserve">reddito permanente (in termini </w:t>
      </w:r>
      <w:r w:rsidR="003812C9">
        <w:t>nomi</w:t>
      </w:r>
      <w:r w:rsidR="007C7AE9">
        <w:t xml:space="preserve">nali). </w:t>
      </w:r>
      <w:r>
        <w:t xml:space="preserve">La </w:t>
      </w:r>
      <w:r w:rsidR="003812C9">
        <w:t>domanda di moneta è una frazione stabile del</w:t>
      </w:r>
      <w:r>
        <w:t xml:space="preserve"> reddito permanente: M </w:t>
      </w:r>
      <w:r w:rsidR="00A75A2F">
        <w:t>= k ·</w:t>
      </w:r>
      <w:proofErr w:type="spellStart"/>
      <w:r w:rsidR="003812C9">
        <w:t>Y</w:t>
      </w:r>
      <w:r w:rsidR="003812C9">
        <w:rPr>
          <w:vertAlign w:val="subscript"/>
        </w:rPr>
        <w:t>p</w:t>
      </w:r>
      <w:proofErr w:type="spellEnd"/>
      <w:r w:rsidR="003812C9">
        <w:t>.</w:t>
      </w:r>
    </w:p>
    <w:p w14:paraId="5929BA02" w14:textId="77777777" w:rsidR="003812C9" w:rsidRDefault="00A75A2F">
      <w:pPr>
        <w:jc w:val="both"/>
      </w:pPr>
      <w:r>
        <w:t xml:space="preserve">k </w:t>
      </w:r>
      <w:r w:rsidR="003812C9">
        <w:t>è l</w:t>
      </w:r>
      <w:r w:rsidR="0059690B">
        <w:t>’</w:t>
      </w:r>
      <w:r w:rsidR="003812C9">
        <w:t>inverso della velocità di circolazione della moneta V, che dunque per i m. è stabile (constatazione empirica). Da cui MV = PQ, ed è riaffermata la teoria quantitativa della moneta.</w:t>
      </w:r>
    </w:p>
    <w:p w14:paraId="30D1D078" w14:textId="056377DE" w:rsidR="003812C9" w:rsidRDefault="00D51566" w:rsidP="00B90FD5">
      <w:pPr>
        <w:spacing w:after="240"/>
        <w:ind w:firstLine="284"/>
        <w:jc w:val="both"/>
      </w:pPr>
      <w:r>
        <w:t xml:space="preserve">Conseguenza fondamentale di </w:t>
      </w:r>
      <w:r w:rsidR="003812C9">
        <w:t>tale</w:t>
      </w:r>
      <w:r w:rsidR="00914D62">
        <w:t xml:space="preserve"> assunto </w:t>
      </w:r>
      <w:r w:rsidR="007C7AE9">
        <w:t xml:space="preserve">è che </w:t>
      </w:r>
      <w:r w:rsidR="003812C9">
        <w:t>scompare la domanda</w:t>
      </w:r>
      <w:r w:rsidR="00764EA1">
        <w:t xml:space="preserve"> </w:t>
      </w:r>
      <w:r w:rsidR="003812C9">
        <w:t>di moneta speculativa, con le sue oscillazioni, e dunque viene</w:t>
      </w:r>
      <w:r w:rsidR="00764EA1">
        <w:t xml:space="preserve"> </w:t>
      </w:r>
      <w:r w:rsidR="003812C9">
        <w:t>meno</w:t>
      </w:r>
      <w:r w:rsidR="00764EA1">
        <w:t xml:space="preserve"> </w:t>
      </w:r>
      <w:r w:rsidR="003812C9">
        <w:t>l’elemento attraverso cui si manifesta la crisi e la depressione.</w:t>
      </w:r>
    </w:p>
    <w:p w14:paraId="7C375B17" w14:textId="41511B3E" w:rsidR="003812C9" w:rsidRDefault="00165443" w:rsidP="00B90FD5">
      <w:pPr>
        <w:ind w:firstLine="284"/>
        <w:jc w:val="both"/>
      </w:pPr>
      <w:r>
        <w:rPr>
          <w:i/>
        </w:rPr>
        <w:t>Il</w:t>
      </w:r>
      <w:r w:rsidRPr="00165443">
        <w:rPr>
          <w:i/>
        </w:rPr>
        <w:t xml:space="preserve"> meccanismo di trasmissione</w:t>
      </w:r>
      <w:r>
        <w:t xml:space="preserve"> </w:t>
      </w:r>
      <w:r w:rsidR="003812C9">
        <w:t>- La discussione fin qui svolta consen</w:t>
      </w:r>
      <w:r w:rsidR="007C7AE9">
        <w:t>te di esaminare il</w:t>
      </w:r>
      <w:r w:rsidR="00764EA1">
        <w:t xml:space="preserve"> </w:t>
      </w:r>
      <w:r w:rsidR="007C7AE9">
        <w:t xml:space="preserve">meccanismo </w:t>
      </w:r>
      <w:r w:rsidR="003812C9">
        <w:t>di</w:t>
      </w:r>
      <w:r w:rsidR="00764EA1">
        <w:t xml:space="preserve"> </w:t>
      </w:r>
      <w:r w:rsidR="003812C9">
        <w:t>trasmissione</w:t>
      </w:r>
      <w:r w:rsidR="00764EA1">
        <w:t xml:space="preserve"> </w:t>
      </w:r>
      <w:r w:rsidR="003812C9">
        <w:t>della politica monetaria.</w:t>
      </w:r>
    </w:p>
    <w:p w14:paraId="72AE76D7" w14:textId="2B6F7381" w:rsidR="003812C9" w:rsidRDefault="00D51566" w:rsidP="00B90FD5">
      <w:pPr>
        <w:ind w:firstLine="284"/>
        <w:jc w:val="both"/>
      </w:pPr>
      <w:r>
        <w:t xml:space="preserve">Si supponga che le </w:t>
      </w:r>
      <w:r w:rsidR="003812C9">
        <w:t>autorità</w:t>
      </w:r>
      <w:r w:rsidR="00764EA1">
        <w:t xml:space="preserve"> </w:t>
      </w:r>
      <w:r w:rsidR="003812C9">
        <w:t>monetarie aumentino l</w:t>
      </w:r>
      <w:r w:rsidR="0059690B">
        <w:t>’</w:t>
      </w:r>
      <w:r w:rsidR="003812C9">
        <w:t xml:space="preserve">offerta di moneta. I soggetti economici si trovano nei loro portafogli quote </w:t>
      </w:r>
      <w:r>
        <w:t xml:space="preserve">di moneta maggiori </w:t>
      </w:r>
      <w:r w:rsidR="00914D62">
        <w:t xml:space="preserve">di </w:t>
      </w:r>
      <w:r w:rsidR="003812C9">
        <w:t xml:space="preserve">quanto desiderato </w:t>
      </w:r>
      <w:r w:rsidR="000E3CE7">
        <w:t xml:space="preserve">e quindi aumentano la domanda </w:t>
      </w:r>
      <w:r w:rsidR="00914D62">
        <w:t xml:space="preserve">di </w:t>
      </w:r>
      <w:r w:rsidR="007C7AE9">
        <w:t>tutte</w:t>
      </w:r>
      <w:r w:rsidR="00764EA1">
        <w:t xml:space="preserve"> </w:t>
      </w:r>
      <w:r w:rsidR="003812C9">
        <w:t>le</w:t>
      </w:r>
      <w:r w:rsidR="00764EA1">
        <w:t xml:space="preserve"> </w:t>
      </w:r>
      <w:r w:rsidR="003812C9">
        <w:t>altre</w:t>
      </w:r>
      <w:r w:rsidR="00764EA1">
        <w:t xml:space="preserve"> </w:t>
      </w:r>
      <w:r w:rsidR="003812C9">
        <w:t>attività,</w:t>
      </w:r>
      <w:r w:rsidR="00764EA1">
        <w:t xml:space="preserve"> </w:t>
      </w:r>
      <w:r w:rsidR="003812C9">
        <w:t>reali</w:t>
      </w:r>
      <w:r w:rsidR="00764EA1">
        <w:t xml:space="preserve"> </w:t>
      </w:r>
      <w:r w:rsidR="003812C9">
        <w:t>e</w:t>
      </w:r>
      <w:r w:rsidR="00764EA1">
        <w:t xml:space="preserve"> </w:t>
      </w:r>
      <w:r w:rsidR="003812C9">
        <w:t>finanziarie (beni, servizi</w:t>
      </w:r>
      <w:r w:rsidR="00C55F40">
        <w:rPr>
          <w:rStyle w:val="Rimandonotaapidipagina"/>
        </w:rPr>
        <w:footnoteReference w:id="5"/>
      </w:r>
      <w:r>
        <w:t>, titoli).</w:t>
      </w:r>
      <w:r w:rsidR="00764EA1">
        <w:t xml:space="preserve"> </w:t>
      </w:r>
      <w:r>
        <w:t>La riduzione del tasso</w:t>
      </w:r>
      <w:r w:rsidR="00764EA1">
        <w:t xml:space="preserve"> </w:t>
      </w:r>
      <w:r>
        <w:t xml:space="preserve">di </w:t>
      </w:r>
      <w:r w:rsidR="003812C9">
        <w:t>interesse induce</w:t>
      </w:r>
      <w:r w:rsidR="00764EA1">
        <w:t xml:space="preserve"> </w:t>
      </w:r>
      <w:r w:rsidR="003812C9">
        <w:t>un</w:t>
      </w:r>
      <w:r w:rsidR="00764EA1">
        <w:t xml:space="preserve"> </w:t>
      </w:r>
      <w:r w:rsidR="003812C9">
        <w:t>aumento</w:t>
      </w:r>
      <w:r w:rsidR="00764EA1">
        <w:t xml:space="preserve"> </w:t>
      </w:r>
      <w:r w:rsidR="003812C9">
        <w:t>degli</w:t>
      </w:r>
      <w:r w:rsidR="00764EA1">
        <w:t xml:space="preserve"> </w:t>
      </w:r>
      <w:r w:rsidR="003812C9">
        <w:t>investimenti.</w:t>
      </w:r>
      <w:r w:rsidR="00764EA1">
        <w:t xml:space="preserve"> </w:t>
      </w:r>
      <w:r w:rsidR="003812C9">
        <w:t>I prezzi dei be</w:t>
      </w:r>
      <w:r>
        <w:t xml:space="preserve">ni sono cresciuti </w:t>
      </w:r>
      <w:r w:rsidR="00914D62">
        <w:t xml:space="preserve">più </w:t>
      </w:r>
      <w:r w:rsidR="003812C9">
        <w:t>dei</w:t>
      </w:r>
      <w:r w:rsidR="00764EA1">
        <w:t xml:space="preserve"> </w:t>
      </w:r>
      <w:r w:rsidR="003812C9">
        <w:t>salari</w:t>
      </w:r>
      <w:r w:rsidR="00764EA1">
        <w:t xml:space="preserve"> </w:t>
      </w:r>
      <w:r w:rsidR="003812C9">
        <w:t>(constatazione</w:t>
      </w:r>
      <w:r w:rsidR="00764EA1">
        <w:t xml:space="preserve"> </w:t>
      </w:r>
      <w:r w:rsidR="003812C9">
        <w:t>empir</w:t>
      </w:r>
      <w:r>
        <w:t>ica). Poiché il salario</w:t>
      </w:r>
      <w:r w:rsidR="00764EA1">
        <w:t xml:space="preserve"> </w:t>
      </w:r>
      <w:r>
        <w:t xml:space="preserve">reale è diminuito, </w:t>
      </w:r>
      <w:r w:rsidR="003812C9">
        <w:t>le imprese aume</w:t>
      </w:r>
      <w:r>
        <w:t>ntano la domanda di lavoro.</w:t>
      </w:r>
      <w:r w:rsidR="00764EA1">
        <w:t xml:space="preserve"> </w:t>
      </w:r>
      <w:r>
        <w:t xml:space="preserve">I </w:t>
      </w:r>
      <w:r w:rsidR="003812C9">
        <w:t>lavoratori, non accorgendosi c</w:t>
      </w:r>
      <w:r w:rsidR="000E3CE7">
        <w:t xml:space="preserve">he anche il livello dei prezzi è aumentato, ma erroneamente </w:t>
      </w:r>
      <w:r w:rsidR="003812C9">
        <w:t>aspettandosi il medesimo precedente livello (aspettative adattive), aumentano l’offerta di lavoro.</w:t>
      </w:r>
      <w:r w:rsidR="00764EA1">
        <w:t xml:space="preserve"> </w:t>
      </w:r>
      <w:proofErr w:type="gramStart"/>
      <w:r w:rsidR="003812C9">
        <w:t>Dunque</w:t>
      </w:r>
      <w:proofErr w:type="gramEnd"/>
      <w:r w:rsidR="003812C9">
        <w:t xml:space="preserve"> crescono l’occupazione e la pr</w:t>
      </w:r>
      <w:r w:rsidR="000E3CE7">
        <w:t xml:space="preserve">oduzione. </w:t>
      </w:r>
      <w:r w:rsidR="00C55F40">
        <w:t xml:space="preserve">Ma solo nel breve periodo. </w:t>
      </w:r>
      <w:r w:rsidR="000E3CE7">
        <w:t xml:space="preserve">Appena i lavoratori correggono l’errore di percezione sui </w:t>
      </w:r>
      <w:r>
        <w:t xml:space="preserve">prezzi, chiederanno </w:t>
      </w:r>
      <w:r w:rsidR="003812C9">
        <w:t>aumenti dei salari nominali, in modo da riportare il salario</w:t>
      </w:r>
      <w:r w:rsidR="00764EA1">
        <w:t xml:space="preserve"> </w:t>
      </w:r>
      <w:r w:rsidR="003812C9">
        <w:t>reale al livello precedente. Quest</w:t>
      </w:r>
      <w:r>
        <w:t xml:space="preserve">o riduce la domanda di lavoro, l’occupazione </w:t>
      </w:r>
      <w:r w:rsidR="00914D62">
        <w:t xml:space="preserve">e </w:t>
      </w:r>
      <w:r w:rsidR="0090421D">
        <w:t xml:space="preserve">la </w:t>
      </w:r>
      <w:r w:rsidR="003812C9">
        <w:t>produzione,</w:t>
      </w:r>
      <w:r w:rsidR="00764EA1">
        <w:t xml:space="preserve"> </w:t>
      </w:r>
      <w:r w:rsidR="003812C9">
        <w:t>riportandole</w:t>
      </w:r>
      <w:r w:rsidR="00764EA1">
        <w:t xml:space="preserve"> </w:t>
      </w:r>
      <w:r w:rsidR="003812C9">
        <w:t>al loro livello “naturale”.</w:t>
      </w:r>
    </w:p>
    <w:p w14:paraId="2A120F1E" w14:textId="38681860" w:rsidR="003812C9" w:rsidRDefault="003812C9" w:rsidP="00B90FD5">
      <w:pPr>
        <w:spacing w:after="120"/>
        <w:ind w:firstLine="284"/>
        <w:jc w:val="both"/>
      </w:pPr>
      <w:r>
        <w:t>Al</w:t>
      </w:r>
      <w:r w:rsidR="00764EA1">
        <w:t xml:space="preserve"> </w:t>
      </w:r>
      <w:r>
        <w:t>termine di tale sequenza, dunque, l’unico effetto finale è un a</w:t>
      </w:r>
      <w:r w:rsidR="00D51566">
        <w:t>umento</w:t>
      </w:r>
      <w:r w:rsidR="00764EA1">
        <w:t xml:space="preserve"> </w:t>
      </w:r>
      <w:r w:rsidR="00D51566">
        <w:t>dei</w:t>
      </w:r>
      <w:r w:rsidR="00764EA1">
        <w:t xml:space="preserve"> </w:t>
      </w:r>
      <w:r w:rsidR="00D51566">
        <w:t xml:space="preserve">prezzi, </w:t>
      </w:r>
      <w:r>
        <w:t>mentre</w:t>
      </w:r>
      <w:r w:rsidR="00764EA1">
        <w:t xml:space="preserve"> </w:t>
      </w:r>
      <w:r>
        <w:t xml:space="preserve">nessuna variazione si è verificata nelle quantità. Dunque, un aumento della quantità di moneta volto a espandere discrezionalmente l’economia </w:t>
      </w:r>
      <w:r w:rsidR="000E3CE7">
        <w:t xml:space="preserve">non ha effetti reali nel lungo periodo; esso produce </w:t>
      </w:r>
      <w:r>
        <w:t>solo un aumento proporzionale del livello dei prezzi.</w:t>
      </w:r>
    </w:p>
    <w:p w14:paraId="11DAB2DD" w14:textId="77777777" w:rsidR="003812C9" w:rsidRDefault="003812C9" w:rsidP="00852AC5">
      <w:pPr>
        <w:spacing w:after="60"/>
        <w:ind w:firstLine="284"/>
        <w:jc w:val="both"/>
      </w:pPr>
      <w:r w:rsidRPr="00165443">
        <w:rPr>
          <w:i/>
        </w:rPr>
        <w:t>L’</w:t>
      </w:r>
      <w:r w:rsidR="00165443" w:rsidRPr="00165443">
        <w:rPr>
          <w:i/>
        </w:rPr>
        <w:t>inflazione</w:t>
      </w:r>
      <w:r>
        <w:t xml:space="preserve"> - L’inflazione è sempre un fenomeno monetario. Tale affermazione è innanzi tutto definitoria: se vigesse il baratto e non vi fosse un bene che funge da moneta, l’inflazione sarebbe impossibile; </w:t>
      </w:r>
      <w:proofErr w:type="gramStart"/>
      <w:r>
        <w:t>infatti</w:t>
      </w:r>
      <w:proofErr w:type="gramEnd"/>
      <w:r>
        <w:t xml:space="preserve"> l’aumento di un prezzo implicherebbe, per definizione, la diminuzione di un altro prezzo. Secondariamente, l’affermazione di Friedman fa riferimento alla causa dell’aumento dei prezzi: se la spesa aggregata cresce più rapidamente del reddito prodotto, ciò può avvenire solo se la quantità di moneta aumenta più rapidamente del reddito reale. </w:t>
      </w:r>
      <w:proofErr w:type="gramStart"/>
      <w:r>
        <w:t>Dunque</w:t>
      </w:r>
      <w:proofErr w:type="gramEnd"/>
      <w:r>
        <w:t xml:space="preserve"> l’inflazione è sempre inflazione da domanda, in quanto la domanda globale, determinata in termini nominali dall’offerta di moneta, eccede il prodotto in termini reali.</w:t>
      </w:r>
    </w:p>
    <w:p w14:paraId="0E0C8E46" w14:textId="7BA22B86" w:rsidR="003812C9" w:rsidRDefault="00D51566" w:rsidP="00B90FD5">
      <w:pPr>
        <w:ind w:firstLine="284"/>
        <w:jc w:val="both"/>
      </w:pPr>
      <w:r>
        <w:t xml:space="preserve">Le </w:t>
      </w:r>
      <w:r w:rsidR="00B90FD5">
        <w:t>aspettat</w:t>
      </w:r>
      <w:r>
        <w:t xml:space="preserve">ive - </w:t>
      </w:r>
      <w:r w:rsidR="003812C9">
        <w:t>In</w:t>
      </w:r>
      <w:r w:rsidR="00764EA1">
        <w:t xml:space="preserve"> </w:t>
      </w:r>
      <w:r w:rsidR="003812C9">
        <w:t>tale</w:t>
      </w:r>
      <w:r w:rsidR="00764EA1">
        <w:t xml:space="preserve"> </w:t>
      </w:r>
      <w:r w:rsidR="003812C9">
        <w:t>processo grande importan</w:t>
      </w:r>
      <w:r w:rsidR="00852AC5">
        <w:t xml:space="preserve">za hanno le aspettative. </w:t>
      </w:r>
      <w:r>
        <w:t xml:space="preserve">Le </w:t>
      </w:r>
      <w:r w:rsidR="003812C9">
        <w:t>aspettative</w:t>
      </w:r>
      <w:r w:rsidR="00764EA1">
        <w:t xml:space="preserve"> </w:t>
      </w:r>
      <w:r w:rsidR="003812C9">
        <w:t>utilizzate</w:t>
      </w:r>
      <w:r w:rsidR="00764EA1">
        <w:t xml:space="preserve"> </w:t>
      </w:r>
      <w:r w:rsidR="003812C9">
        <w:t>da</w:t>
      </w:r>
      <w:r w:rsidR="00764EA1">
        <w:t xml:space="preserve"> </w:t>
      </w:r>
      <w:r w:rsidR="003812C9">
        <w:t>Friedman</w:t>
      </w:r>
      <w:r w:rsidR="00764EA1">
        <w:t xml:space="preserve"> </w:t>
      </w:r>
      <w:r w:rsidR="003812C9">
        <w:t>sono “adattive”:</w:t>
      </w:r>
      <w:r w:rsidR="00764EA1">
        <w:t xml:space="preserve"> </w:t>
      </w:r>
      <w:r w:rsidR="003812C9">
        <w:t>il</w:t>
      </w:r>
      <w:r w:rsidR="00764EA1">
        <w:t xml:space="preserve"> </w:t>
      </w:r>
      <w:r w:rsidR="003812C9">
        <w:t>valore</w:t>
      </w:r>
      <w:r w:rsidR="00764EA1">
        <w:t xml:space="preserve"> </w:t>
      </w:r>
      <w:r w:rsidR="003812C9">
        <w:t>atteso</w:t>
      </w:r>
      <w:r w:rsidR="00764EA1">
        <w:t xml:space="preserve"> </w:t>
      </w:r>
      <w:r w:rsidR="003812C9">
        <w:t>di</w:t>
      </w:r>
      <w:r w:rsidR="00764EA1">
        <w:t xml:space="preserve"> </w:t>
      </w:r>
      <w:r w:rsidR="003812C9">
        <w:t>una</w:t>
      </w:r>
      <w:r w:rsidR="00764EA1">
        <w:t xml:space="preserve"> </w:t>
      </w:r>
      <w:r w:rsidR="003812C9">
        <w:t>variabile viene via via corretto</w:t>
      </w:r>
      <w:r w:rsidR="00764EA1">
        <w:t xml:space="preserve"> </w:t>
      </w:r>
      <w:r w:rsidR="003812C9">
        <w:t>sulla</w:t>
      </w:r>
      <w:r w:rsidR="00764EA1">
        <w:t xml:space="preserve"> </w:t>
      </w:r>
      <w:r w:rsidR="003812C9">
        <w:t>base</w:t>
      </w:r>
      <w:r w:rsidR="00764EA1">
        <w:t xml:space="preserve"> </w:t>
      </w:r>
      <w:r w:rsidR="003812C9">
        <w:t>della</w:t>
      </w:r>
      <w:r w:rsidR="00764EA1">
        <w:t xml:space="preserve"> </w:t>
      </w:r>
      <w:r w:rsidR="003812C9">
        <w:t>differenza tra il valore atteso nel periodo precedente e il valore ef</w:t>
      </w:r>
      <w:r>
        <w:t xml:space="preserve">fettivamente sperimentato. Nel </w:t>
      </w:r>
      <w:r w:rsidR="00914D62">
        <w:t>breve</w:t>
      </w:r>
      <w:r w:rsidR="00764EA1">
        <w:t xml:space="preserve"> </w:t>
      </w:r>
      <w:r w:rsidR="00914D62">
        <w:t xml:space="preserve">periodo vi </w:t>
      </w:r>
      <w:r w:rsidR="00852AC5">
        <w:t xml:space="preserve">può </w:t>
      </w:r>
      <w:r w:rsidR="003812C9">
        <w:t>essere una d</w:t>
      </w:r>
      <w:r w:rsidR="00914D62">
        <w:t xml:space="preserve">ivergenza fra grandezze attese </w:t>
      </w:r>
      <w:r w:rsidR="003812C9">
        <w:t xml:space="preserve">e grandezze effettive. </w:t>
      </w:r>
      <w:r w:rsidR="00A75A2F">
        <w:t xml:space="preserve">È </w:t>
      </w:r>
      <w:r w:rsidR="003812C9">
        <w:t>questa divergenz</w:t>
      </w:r>
      <w:r>
        <w:t>a che consente le fluttuazioni intorno</w:t>
      </w:r>
      <w:r w:rsidR="00764EA1">
        <w:t xml:space="preserve"> </w:t>
      </w:r>
      <w:r>
        <w:t xml:space="preserve">alla posizione di equilibrio </w:t>
      </w:r>
      <w:r w:rsidR="003812C9">
        <w:t>(di lungo p</w:t>
      </w:r>
      <w:r>
        <w:t>eriodo).</w:t>
      </w:r>
      <w:r w:rsidR="00764EA1">
        <w:t xml:space="preserve"> </w:t>
      </w:r>
      <w:r>
        <w:lastRenderedPageBreak/>
        <w:t xml:space="preserve">Nell’esempio precedente, i lavoratori </w:t>
      </w:r>
      <w:r w:rsidR="003812C9">
        <w:t>aumentano l</w:t>
      </w:r>
      <w:r w:rsidR="0059690B">
        <w:t>’</w:t>
      </w:r>
      <w:r>
        <w:t>offerta di</w:t>
      </w:r>
      <w:r w:rsidR="00764EA1">
        <w:t xml:space="preserve"> </w:t>
      </w:r>
      <w:r>
        <w:t xml:space="preserve">lavoro perché sono </w:t>
      </w:r>
      <w:r w:rsidR="003812C9">
        <w:t>s</w:t>
      </w:r>
      <w:r w:rsidR="00914D62">
        <w:t xml:space="preserve">oggetti, temporaneamente, </w:t>
      </w:r>
      <w:r>
        <w:t>a “illusione</w:t>
      </w:r>
      <w:r w:rsidR="00764EA1">
        <w:t xml:space="preserve"> </w:t>
      </w:r>
      <w:r>
        <w:t xml:space="preserve">monetaria”. Essi constatano </w:t>
      </w:r>
      <w:r w:rsidR="003812C9">
        <w:t>un</w:t>
      </w:r>
      <w:r w:rsidR="00764EA1">
        <w:t xml:space="preserve"> </w:t>
      </w:r>
      <w:r w:rsidR="003812C9">
        <w:t>aumento</w:t>
      </w:r>
      <w:r w:rsidR="00764EA1">
        <w:t xml:space="preserve"> </w:t>
      </w:r>
      <w:r w:rsidR="003812C9">
        <w:t>del salario nominale, ma non si accorgono che i prezzi sono aumentati più dei salari,</w:t>
      </w:r>
      <w:r w:rsidR="00764EA1">
        <w:t xml:space="preserve"> </w:t>
      </w:r>
      <w:r w:rsidR="003812C9">
        <w:t>e</w:t>
      </w:r>
      <w:r w:rsidR="00764EA1">
        <w:t xml:space="preserve"> </w:t>
      </w:r>
      <w:r w:rsidR="003812C9">
        <w:t>c</w:t>
      </w:r>
      <w:r w:rsidR="00914D62">
        <w:t>he</w:t>
      </w:r>
      <w:r w:rsidR="00764EA1">
        <w:t xml:space="preserve"> </w:t>
      </w:r>
      <w:r w:rsidR="00914D62">
        <w:t>dunque</w:t>
      </w:r>
      <w:r w:rsidR="00764EA1">
        <w:t xml:space="preserve"> </w:t>
      </w:r>
      <w:r w:rsidR="00914D62">
        <w:t>il</w:t>
      </w:r>
      <w:r w:rsidR="00764EA1">
        <w:t xml:space="preserve"> </w:t>
      </w:r>
      <w:r w:rsidR="00914D62">
        <w:t>salario</w:t>
      </w:r>
      <w:r w:rsidR="00764EA1">
        <w:t xml:space="preserve"> </w:t>
      </w:r>
      <w:r w:rsidR="00914D62">
        <w:t xml:space="preserve">reale </w:t>
      </w:r>
      <w:r w:rsidR="003812C9">
        <w:t xml:space="preserve">è </w:t>
      </w:r>
      <w:r>
        <w:t xml:space="preserve">diminuito. Quando i lavoratori </w:t>
      </w:r>
      <w:r w:rsidR="003812C9">
        <w:t>correggono l’errore di percezione, le grandezze reali ritornano al livello naturale.</w:t>
      </w:r>
    </w:p>
    <w:p w14:paraId="12BAB992" w14:textId="7B2F2910" w:rsidR="003812C9" w:rsidRDefault="00914D62" w:rsidP="00B90FD5">
      <w:pPr>
        <w:spacing w:after="240"/>
        <w:ind w:firstLine="284"/>
        <w:jc w:val="both"/>
      </w:pPr>
      <w:proofErr w:type="gramStart"/>
      <w:r>
        <w:t>Dunque</w:t>
      </w:r>
      <w:proofErr w:type="gramEnd"/>
      <w:r>
        <w:t xml:space="preserve"> nel </w:t>
      </w:r>
      <w:r w:rsidR="007C7AE9">
        <w:t>breve</w:t>
      </w:r>
      <w:r w:rsidR="00764EA1">
        <w:t xml:space="preserve"> </w:t>
      </w:r>
      <w:r w:rsidR="007C7AE9">
        <w:t xml:space="preserve">periodo, </w:t>
      </w:r>
      <w:r w:rsidR="003812C9">
        <w:t>grazie</w:t>
      </w:r>
      <w:r w:rsidR="00764EA1">
        <w:t xml:space="preserve"> </w:t>
      </w:r>
      <w:r w:rsidR="003812C9">
        <w:t>a</w:t>
      </w:r>
      <w:r w:rsidR="00764EA1">
        <w:t xml:space="preserve"> </w:t>
      </w:r>
      <w:r w:rsidR="003812C9">
        <w:t>errori di previsione sui livelli futuri dei prezzi e dei salari reali, la curva di offerta aggregata</w:t>
      </w:r>
      <w:r w:rsidR="00764EA1">
        <w:t xml:space="preserve"> </w:t>
      </w:r>
      <w:r w:rsidR="003812C9">
        <w:t>può</w:t>
      </w:r>
      <w:r w:rsidR="00764EA1">
        <w:t xml:space="preserve"> </w:t>
      </w:r>
      <w:r w:rsidR="003812C9">
        <w:t>avere</w:t>
      </w:r>
      <w:r w:rsidR="00764EA1">
        <w:t xml:space="preserve"> </w:t>
      </w:r>
      <w:r w:rsidR="003812C9">
        <w:t>inclinazione</w:t>
      </w:r>
      <w:r w:rsidR="00764EA1">
        <w:t xml:space="preserve"> </w:t>
      </w:r>
      <w:r w:rsidR="003812C9">
        <w:t>positiva;</w:t>
      </w:r>
      <w:r w:rsidR="00764EA1">
        <w:t xml:space="preserve"> </w:t>
      </w:r>
      <w:r w:rsidR="003812C9">
        <w:t>nel lungo periodo, però,</w:t>
      </w:r>
      <w:r w:rsidR="00764EA1">
        <w:t xml:space="preserve"> </w:t>
      </w:r>
      <w:r w:rsidR="003812C9">
        <w:t>essa</w:t>
      </w:r>
      <w:r w:rsidR="00764EA1">
        <w:t xml:space="preserve"> </w:t>
      </w:r>
      <w:r w:rsidR="003812C9">
        <w:t>è</w:t>
      </w:r>
      <w:r w:rsidR="00764EA1">
        <w:t xml:space="preserve"> </w:t>
      </w:r>
      <w:r w:rsidR="003812C9">
        <w:t>rappresentata</w:t>
      </w:r>
      <w:r w:rsidR="00764EA1">
        <w:t xml:space="preserve"> </w:t>
      </w:r>
      <w:r w:rsidR="003812C9">
        <w:t>da</w:t>
      </w:r>
      <w:r w:rsidR="00764EA1">
        <w:t xml:space="preserve"> </w:t>
      </w:r>
      <w:r w:rsidR="003812C9">
        <w:t>una</w:t>
      </w:r>
      <w:r w:rsidR="00764EA1">
        <w:t xml:space="preserve"> </w:t>
      </w:r>
      <w:r w:rsidR="003812C9">
        <w:t>retta</w:t>
      </w:r>
      <w:r w:rsidR="00764EA1">
        <w:t xml:space="preserve"> </w:t>
      </w:r>
      <w:r w:rsidR="003812C9">
        <w:t>verticale</w:t>
      </w:r>
      <w:r w:rsidR="00764EA1">
        <w:t xml:space="preserve"> </w:t>
      </w:r>
      <w:r w:rsidR="003812C9">
        <w:t>in corrispondenza del reddito “naturale” di</w:t>
      </w:r>
      <w:r w:rsidR="00D51566">
        <w:t xml:space="preserve"> piena occupazione. Espansioni </w:t>
      </w:r>
      <w:r w:rsidR="003812C9">
        <w:t xml:space="preserve">dal lato della domanda (politica </w:t>
      </w:r>
      <w:r w:rsidR="00D51566">
        <w:t xml:space="preserve">fiscale e monetaria) provocano solo </w:t>
      </w:r>
      <w:r w:rsidR="003812C9">
        <w:t>aumenti</w:t>
      </w:r>
      <w:r w:rsidR="00764EA1">
        <w:t xml:space="preserve"> </w:t>
      </w:r>
      <w:r w:rsidR="003812C9">
        <w:t>dei</w:t>
      </w:r>
      <w:r w:rsidR="00764EA1">
        <w:t xml:space="preserve"> </w:t>
      </w:r>
      <w:r w:rsidR="003812C9">
        <w:t>prezzi.</w:t>
      </w:r>
      <w:r w:rsidR="00764EA1">
        <w:t xml:space="preserve"> </w:t>
      </w:r>
      <w:r w:rsidR="003812C9">
        <w:t>I</w:t>
      </w:r>
      <w:r w:rsidR="00D51566">
        <w:t xml:space="preserve"> movimenti dell’economia reale </w:t>
      </w:r>
      <w:r w:rsidR="003812C9">
        <w:t>(produzione, occupazione, crescita della produttività) per i m. sono determinati, nel lungo periodo, e</w:t>
      </w:r>
      <w:r w:rsidR="00D51566">
        <w:t xml:space="preserve">sclusivamente da fattori reali </w:t>
      </w:r>
      <w:r w:rsidR="007C7AE9">
        <w:t xml:space="preserve">quali </w:t>
      </w:r>
      <w:r w:rsidR="003812C9">
        <w:t>il</w:t>
      </w:r>
      <w:r w:rsidR="00764EA1">
        <w:t xml:space="preserve"> </w:t>
      </w:r>
      <w:r w:rsidR="003812C9">
        <w:t>progresso</w:t>
      </w:r>
      <w:r w:rsidR="00764EA1">
        <w:t xml:space="preserve"> </w:t>
      </w:r>
      <w:r w:rsidR="003812C9">
        <w:t>tecnico, la crescita dell’offerta di lavoro, il tasso di formazione del capitale.</w:t>
      </w:r>
    </w:p>
    <w:p w14:paraId="206DDAFA" w14:textId="0A05D205" w:rsidR="003812C9" w:rsidRDefault="003812C9" w:rsidP="00B90FD5">
      <w:pPr>
        <w:ind w:firstLine="284"/>
        <w:jc w:val="both"/>
      </w:pPr>
      <w:r w:rsidRPr="00165443">
        <w:rPr>
          <w:i/>
        </w:rPr>
        <w:t>R</w:t>
      </w:r>
      <w:r w:rsidR="00165443" w:rsidRPr="00165443">
        <w:rPr>
          <w:i/>
        </w:rPr>
        <w:t>egole di politica economica</w:t>
      </w:r>
      <w:r w:rsidR="00165443">
        <w:t xml:space="preserve"> </w:t>
      </w:r>
      <w:r w:rsidR="00914D62">
        <w:t xml:space="preserve">- </w:t>
      </w:r>
      <w:r>
        <w:t>La conclusione, in termini di indicazioni</w:t>
      </w:r>
      <w:r w:rsidR="00764EA1">
        <w:t xml:space="preserve"> </w:t>
      </w:r>
      <w:r>
        <w:t>di politica economica, è che lo Stato deve astenersi dall’intervenire</w:t>
      </w:r>
      <w:r w:rsidR="00764EA1">
        <w:t xml:space="preserve"> </w:t>
      </w:r>
      <w:r>
        <w:t>nel</w:t>
      </w:r>
      <w:r w:rsidR="00D51566">
        <w:t>l’economia.</w:t>
      </w:r>
      <w:r w:rsidR="00764EA1">
        <w:t xml:space="preserve"> </w:t>
      </w:r>
      <w:r w:rsidR="00D51566">
        <w:t xml:space="preserve">In </w:t>
      </w:r>
      <w:r>
        <w:t>particol</w:t>
      </w:r>
      <w:r w:rsidR="00914D62">
        <w:t>are</w:t>
      </w:r>
      <w:r w:rsidR="00764EA1">
        <w:t>,</w:t>
      </w:r>
      <w:r w:rsidR="00914D62">
        <w:t xml:space="preserve"> deve evitare la formazione di un disavanzo nel bilancio </w:t>
      </w:r>
      <w:r>
        <w:t xml:space="preserve">pubblico, canale di </w:t>
      </w:r>
      <w:r w:rsidR="00914D62">
        <w:t xml:space="preserve">aumento della </w:t>
      </w:r>
      <w:r>
        <w:t>base monetaria</w:t>
      </w:r>
      <w:r w:rsidR="00764EA1">
        <w:t xml:space="preserve"> </w:t>
      </w:r>
      <w:r>
        <w:t>e dunque</w:t>
      </w:r>
      <w:r w:rsidR="00764EA1">
        <w:t xml:space="preserve"> </w:t>
      </w:r>
      <w:r>
        <w:t>elemento</w:t>
      </w:r>
      <w:r w:rsidR="00764EA1">
        <w:t xml:space="preserve"> </w:t>
      </w:r>
      <w:r>
        <w:t>di destabilizzazione e di inflazione.</w:t>
      </w:r>
    </w:p>
    <w:p w14:paraId="3176607E" w14:textId="77777777" w:rsidR="003812C9" w:rsidRDefault="00D51566" w:rsidP="00B90FD5">
      <w:pPr>
        <w:ind w:firstLine="284"/>
        <w:jc w:val="both"/>
      </w:pPr>
      <w:r>
        <w:t xml:space="preserve">Inoltre, un aumento </w:t>
      </w:r>
      <w:r w:rsidR="003812C9">
        <w:t>della spesa pubblica provoca un effetto di “spiazzamento” sugli investimenti privati.</w:t>
      </w:r>
    </w:p>
    <w:p w14:paraId="25609A0A" w14:textId="76CDA6E0" w:rsidR="003812C9" w:rsidRDefault="003812C9" w:rsidP="00B90FD5">
      <w:pPr>
        <w:ind w:firstLine="284"/>
        <w:jc w:val="both"/>
      </w:pPr>
      <w:r>
        <w:t>Se l’inflazione è troppo alta, possono verificarsi deviazioni del sistema</w:t>
      </w:r>
      <w:r w:rsidR="00764EA1">
        <w:t xml:space="preserve"> </w:t>
      </w:r>
      <w:r w:rsidR="00D51566">
        <w:t xml:space="preserve">economico dalla posizione di equilibrio naturale. Infatti, per i </w:t>
      </w:r>
      <w:r>
        <w:t>m</w:t>
      </w:r>
      <w:r w:rsidR="00866A6B">
        <w:t>onetaristi</w:t>
      </w:r>
      <w:r w:rsidR="00914D62">
        <w:t xml:space="preserve">, i </w:t>
      </w:r>
      <w:r w:rsidR="007C7AE9">
        <w:t xml:space="preserve">soggetti </w:t>
      </w:r>
      <w:r>
        <w:t>ricevono</w:t>
      </w:r>
      <w:r w:rsidR="00764EA1">
        <w:t xml:space="preserve"> </w:t>
      </w:r>
      <w:r>
        <w:t>le informazioni sul mercato</w:t>
      </w:r>
      <w:r w:rsidR="00764EA1">
        <w:t xml:space="preserve"> </w:t>
      </w:r>
      <w:r>
        <w:t>nella forma dei prezzi monetari e non, come nella teoria walras</w:t>
      </w:r>
      <w:r w:rsidR="00D51566">
        <w:t>iana,</w:t>
      </w:r>
      <w:r w:rsidR="00764EA1">
        <w:t xml:space="preserve"> </w:t>
      </w:r>
      <w:r w:rsidR="00D51566">
        <w:t>dal</w:t>
      </w:r>
      <w:r w:rsidR="00764EA1">
        <w:t xml:space="preserve"> </w:t>
      </w:r>
      <w:r w:rsidR="00D51566">
        <w:t xml:space="preserve">banditore. Dunque, </w:t>
      </w:r>
      <w:r>
        <w:t>va</w:t>
      </w:r>
      <w:r w:rsidR="00D51566">
        <w:t xml:space="preserve">riazioni troppo accentuate dei </w:t>
      </w:r>
      <w:r>
        <w:t>prezzi monetari provocano incertezza nei so</w:t>
      </w:r>
      <w:r w:rsidR="00914D62">
        <w:t xml:space="preserve">ggetti, errori di previsione, </w:t>
      </w:r>
      <w:r w:rsidR="007C7AE9">
        <w:t xml:space="preserve">e </w:t>
      </w:r>
      <w:r>
        <w:t>quindi</w:t>
      </w:r>
      <w:r w:rsidR="00764EA1">
        <w:t xml:space="preserve"> </w:t>
      </w:r>
      <w:r>
        <w:t>un</w:t>
      </w:r>
      <w:r w:rsidR="00764EA1">
        <w:t xml:space="preserve"> </w:t>
      </w:r>
      <w:r>
        <w:t>equilibrio</w:t>
      </w:r>
      <w:r w:rsidR="00764EA1">
        <w:t xml:space="preserve"> </w:t>
      </w:r>
      <w:r>
        <w:t>finale</w:t>
      </w:r>
      <w:r w:rsidR="00764EA1">
        <w:t xml:space="preserve"> </w:t>
      </w:r>
      <w:r>
        <w:t>non</w:t>
      </w:r>
      <w:r w:rsidR="00764EA1">
        <w:t xml:space="preserve"> </w:t>
      </w:r>
      <w:r>
        <w:t>al</w:t>
      </w:r>
      <w:r w:rsidR="00764EA1">
        <w:t xml:space="preserve"> </w:t>
      </w:r>
      <w:r>
        <w:t>livello “naturale”.</w:t>
      </w:r>
    </w:p>
    <w:p w14:paraId="06024A6D" w14:textId="77777777" w:rsidR="003812C9" w:rsidRDefault="003812C9" w:rsidP="00B90FD5">
      <w:pPr>
        <w:spacing w:after="120"/>
        <w:ind w:firstLine="284"/>
        <w:jc w:val="both"/>
      </w:pPr>
      <w:r>
        <w:t xml:space="preserve">Un altro fondamentale contributo è rappresentato dalla critica alle politiche di stabilizzazione di breve periodo. La tesi di Friedman è che l’insufficienza delle nostre conoscenze, l’inaffidabilità delle previsioni macroeconomiche e l’esistenza di ritardi variabili con cui le decisioni di politica economica producono le loro conseguenze fanno sì che le politiche attive finiscano con l’essere pro-cicliche anziché anti-cicliche. </w:t>
      </w:r>
    </w:p>
    <w:p w14:paraId="20EDF471" w14:textId="77777777" w:rsidR="003812C9" w:rsidRDefault="00D51566" w:rsidP="00914D62">
      <w:pPr>
        <w:ind w:firstLine="284"/>
        <w:jc w:val="both"/>
      </w:pPr>
      <w:proofErr w:type="gramStart"/>
      <w:r>
        <w:t>Dunque</w:t>
      </w:r>
      <w:proofErr w:type="gramEnd"/>
      <w:r>
        <w:t xml:space="preserve"> </w:t>
      </w:r>
      <w:r w:rsidR="003812C9">
        <w:t>per i m</w:t>
      </w:r>
      <w:r w:rsidR="00866A6B">
        <w:t>onetaristi</w:t>
      </w:r>
      <w:r w:rsidR="003812C9">
        <w:t xml:space="preserve"> le regole di politica econ</w:t>
      </w:r>
      <w:r w:rsidR="00914D62">
        <w:t>omica devono essere le seguenti.</w:t>
      </w:r>
    </w:p>
    <w:p w14:paraId="63C75968" w14:textId="4AA4446C" w:rsidR="003F148C" w:rsidRDefault="003F148C" w:rsidP="00B90FD5">
      <w:pPr>
        <w:ind w:firstLine="284"/>
        <w:jc w:val="both"/>
      </w:pPr>
      <w:r>
        <w:t>a</w:t>
      </w:r>
      <w:r w:rsidR="003812C9">
        <w:t xml:space="preserve">) </w:t>
      </w:r>
      <w:r>
        <w:t>C</w:t>
      </w:r>
      <w:r w:rsidR="00D51566">
        <w:t xml:space="preserve">ontrollare rigorosamente la </w:t>
      </w:r>
      <w:r w:rsidR="003812C9">
        <w:t>quantità</w:t>
      </w:r>
      <w:r w:rsidR="00764EA1">
        <w:t xml:space="preserve"> </w:t>
      </w:r>
      <w:r w:rsidR="003812C9">
        <w:t>di</w:t>
      </w:r>
      <w:r w:rsidR="00764EA1">
        <w:t xml:space="preserve"> </w:t>
      </w:r>
      <w:r>
        <w:t xml:space="preserve">moneta in modo da preservare la </w:t>
      </w:r>
      <w:r w:rsidR="003812C9">
        <w:t>stabilità dei prezzi</w:t>
      </w:r>
      <w:r w:rsidR="00CF255B">
        <w:t>, che è l’unico obiettivo finale.</w:t>
      </w:r>
      <w:r w:rsidR="003812C9">
        <w:t xml:space="preserve"> </w:t>
      </w:r>
      <w:r w:rsidR="00CF255B">
        <w:t>I</w:t>
      </w:r>
      <w:r w:rsidR="003812C9">
        <w:t>n parti</w:t>
      </w:r>
      <w:r w:rsidR="00D51566">
        <w:t>colare, la quantità di</w:t>
      </w:r>
      <w:r w:rsidR="00764EA1">
        <w:t xml:space="preserve"> </w:t>
      </w:r>
      <w:r w:rsidR="00D51566">
        <w:t>moneta dovrà essere</w:t>
      </w:r>
      <w:r w:rsidR="003812C9">
        <w:t xml:space="preserve"> accresciuta nella</w:t>
      </w:r>
      <w:r w:rsidR="00CF255B">
        <w:t xml:space="preserve"> stessa misura in cui crescono le </w:t>
      </w:r>
      <w:r w:rsidR="003812C9">
        <w:t xml:space="preserve">quantità prodotte. Le autorità di politica economica devono programmare tassi di crescita della moneta </w:t>
      </w:r>
      <w:r w:rsidR="00BC1137">
        <w:t xml:space="preserve">(M2) </w:t>
      </w:r>
      <w:r w:rsidR="002312AB">
        <w:t xml:space="preserve">costanti per un lungo periodo di </w:t>
      </w:r>
      <w:r w:rsidR="003812C9">
        <w:t>tempo</w:t>
      </w:r>
      <w:r w:rsidR="002312AB">
        <w:t xml:space="preserve"> (pari al tasso di crescita annuo del pil </w:t>
      </w:r>
      <w:r w:rsidR="00E53F57">
        <w:t xml:space="preserve">reale </w:t>
      </w:r>
      <w:r w:rsidR="002312AB">
        <w:t>previsto per il lungo periodo; Friedman suggerisce il 4%);</w:t>
      </w:r>
      <w:r w:rsidR="003812C9">
        <w:t xml:space="preserve"> in modo che gli operatori possano effettuare le loro previsioni e i loro progetti in base a questa </w:t>
      </w:r>
      <w:r w:rsidR="002312AB">
        <w:t>informazione di stabilità, dato</w:t>
      </w:r>
      <w:r w:rsidR="003812C9">
        <w:t xml:space="preserve"> che le forze di mercato da sole assicurano uno svilu</w:t>
      </w:r>
      <w:r w:rsidR="00CF255B">
        <w:t>ppo stabile nel corso del tempo.</w:t>
      </w:r>
      <w:r w:rsidR="003812C9">
        <w:t xml:space="preserve"> </w:t>
      </w:r>
      <w:proofErr w:type="gramStart"/>
      <w:r w:rsidR="00CF255B">
        <w:t>D</w:t>
      </w:r>
      <w:r w:rsidR="00BC1137">
        <w:t>unque</w:t>
      </w:r>
      <w:proofErr w:type="gramEnd"/>
      <w:r w:rsidR="00BC1137">
        <w:t xml:space="preserve"> regola automatica contro politiche monetarie attive</w:t>
      </w:r>
      <w:r w:rsidR="002312AB">
        <w:t xml:space="preserve"> (</w:t>
      </w:r>
      <w:smartTag w:uri="urn:schemas-microsoft-com:office:smarttags" w:element="PersonName">
        <w:smartTagPr>
          <w:attr w:name="ProductID" w:val="la Fed"/>
        </w:smartTagPr>
        <w:r w:rsidR="002312AB">
          <w:t>la Fed</w:t>
        </w:r>
      </w:smartTag>
      <w:r w:rsidR="002312AB">
        <w:t xml:space="preserve"> potrebbe essere sostituita da un computer</w:t>
      </w:r>
      <w:r>
        <w:t xml:space="preserve">, che deve solo applicare </w:t>
      </w:r>
      <w:smartTag w:uri="urn:schemas-microsoft-com:office:smarttags" w:element="PersonName">
        <w:smartTagPr>
          <w:attr w:name="ProductID" w:val="la Regola Monetarista"/>
        </w:smartTagPr>
        <w:smartTag w:uri="urn:schemas-microsoft-com:office:smarttags" w:element="PersonName">
          <w:smartTagPr>
            <w:attr w:name="ProductID" w:val="la Regola"/>
          </w:smartTagPr>
          <w:r>
            <w:t>la Regola</w:t>
          </w:r>
        </w:smartTag>
        <w:r>
          <w:t xml:space="preserve"> Monetarista</w:t>
        </w:r>
      </w:smartTag>
      <w:r w:rsidR="002312AB">
        <w:t>)</w:t>
      </w:r>
      <w:r w:rsidR="00BC1137">
        <w:t xml:space="preserve">. </w:t>
      </w:r>
    </w:p>
    <w:p w14:paraId="71BDDA1F" w14:textId="2A6F65E7" w:rsidR="003812C9" w:rsidRDefault="00BC1137" w:rsidP="00B90FD5">
      <w:pPr>
        <w:ind w:firstLine="284"/>
        <w:jc w:val="both"/>
      </w:pPr>
      <w:r>
        <w:t>I tassi di interesse non devono essere manipolati dalla banca centrale, ma lasciati fluttuare liberamente</w:t>
      </w:r>
      <w:r w:rsidR="003F148C">
        <w:t xml:space="preserve"> secondo la domanda e l’offerta</w:t>
      </w:r>
      <w:r w:rsidR="00CF255B">
        <w:t>; l’obiettivo intermedio infatti</w:t>
      </w:r>
      <w:r w:rsidR="00764EA1">
        <w:t>,</w:t>
      </w:r>
      <w:r w:rsidR="00CF255B">
        <w:t xml:space="preserve"> come detto</w:t>
      </w:r>
      <w:r w:rsidR="00764EA1">
        <w:t>,</w:t>
      </w:r>
      <w:r w:rsidR="00CF255B">
        <w:t xml:space="preserve"> deve essere l’aggregato monetario M2, non il tasso di interesse</w:t>
      </w:r>
      <w:r w:rsidR="003F148C">
        <w:t>.</w:t>
      </w:r>
    </w:p>
    <w:p w14:paraId="1B65D452" w14:textId="77777777" w:rsidR="003F148C" w:rsidRDefault="003F148C" w:rsidP="00B90FD5">
      <w:pPr>
        <w:ind w:firstLine="284"/>
        <w:jc w:val="both"/>
      </w:pPr>
      <w:r>
        <w:t>La riserva bancaria non dev’essere frazionaria, ma del 100%.</w:t>
      </w:r>
    </w:p>
    <w:p w14:paraId="2C8F0769" w14:textId="77777777" w:rsidR="003F148C" w:rsidRDefault="003F148C" w:rsidP="00B90FD5">
      <w:pPr>
        <w:ind w:firstLine="284"/>
        <w:jc w:val="both"/>
      </w:pPr>
      <w:r>
        <w:t xml:space="preserve">b) Tutelare il pareggio nel bilancio del settore pubblico. </w:t>
      </w:r>
    </w:p>
    <w:p w14:paraId="061C14C6" w14:textId="77777777" w:rsidR="003812C9" w:rsidRDefault="007C7AE9" w:rsidP="00B90FD5">
      <w:pPr>
        <w:spacing w:after="120"/>
        <w:ind w:firstLine="284"/>
        <w:jc w:val="both"/>
      </w:pPr>
      <w:r>
        <w:t xml:space="preserve">c) </w:t>
      </w:r>
      <w:r w:rsidR="003F148C">
        <w:t xml:space="preserve">Adottare un </w:t>
      </w:r>
      <w:r w:rsidR="003812C9">
        <w:t>r</w:t>
      </w:r>
      <w:r w:rsidR="003F148C">
        <w:t xml:space="preserve">egime di cambi esteri flessibili, in </w:t>
      </w:r>
      <w:r w:rsidR="003812C9">
        <w:t>modo</w:t>
      </w:r>
      <w:r w:rsidR="003F148C">
        <w:t xml:space="preserve"> da determinare a</w:t>
      </w:r>
      <w:r w:rsidR="00D51566">
        <w:t xml:space="preserve">ggiustamenti automatici delle </w:t>
      </w:r>
      <w:r w:rsidR="003F148C">
        <w:t xml:space="preserve">bilance </w:t>
      </w:r>
      <w:r w:rsidR="003812C9">
        <w:t>dei pagamenti.</w:t>
      </w:r>
    </w:p>
    <w:p w14:paraId="7E55AA4C" w14:textId="77777777" w:rsidR="003812C9" w:rsidRDefault="003812C9" w:rsidP="004C2E5E">
      <w:pPr>
        <w:spacing w:after="240"/>
        <w:ind w:firstLine="284"/>
        <w:jc w:val="both"/>
      </w:pPr>
      <w:r>
        <w:t xml:space="preserve">La politica economica non deve porsi l’obiettivo di impedire i piccoli scostamenti della domanda globale dal suo </w:t>
      </w:r>
      <w:r w:rsidRPr="00764EA1">
        <w:rPr>
          <w:i/>
          <w:iCs/>
        </w:rPr>
        <w:t>trend</w:t>
      </w:r>
      <w:r>
        <w:t xml:space="preserve">, ma in caso di episodi rilevanti la politica monetaria </w:t>
      </w:r>
      <w:r>
        <w:rPr>
          <w:i/>
        </w:rPr>
        <w:t>deve</w:t>
      </w:r>
      <w:r>
        <w:t xml:space="preserve"> intervenire. La Grande Depressione diventò tale perché in seguito ad una normale recessione le autorità monetarie ridussero la quantità di moneta in circolazione, anziché aumentarla.</w:t>
      </w:r>
    </w:p>
    <w:p w14:paraId="3773128E" w14:textId="77777777" w:rsidR="003812C9" w:rsidRDefault="00B90FD5" w:rsidP="000B1B3C">
      <w:pPr>
        <w:spacing w:after="240"/>
        <w:ind w:firstLine="284"/>
        <w:jc w:val="both"/>
      </w:pPr>
      <w:r>
        <w:lastRenderedPageBreak/>
        <w:t xml:space="preserve">In </w:t>
      </w:r>
      <w:r w:rsidR="003812C9">
        <w:t>conclusione, se per i classici la mone</w:t>
      </w:r>
      <w:r w:rsidR="00914D62">
        <w:t xml:space="preserve">ta è neutrale, Friedman invece </w:t>
      </w:r>
      <w:r w:rsidR="007C7AE9">
        <w:t xml:space="preserve">ne </w:t>
      </w:r>
      <w:r w:rsidR="003812C9">
        <w:t>riafferma l’importanza</w:t>
      </w:r>
      <w:r w:rsidR="00FB7ECA">
        <w:t xml:space="preserve"> (sia in aumento sia in diminuzione)</w:t>
      </w:r>
      <w:r w:rsidR="003812C9">
        <w:t xml:space="preserve">, ma sottolinea che l’obiettivo ottimale per le autorità, affinché il sistema </w:t>
      </w:r>
      <w:proofErr w:type="gramStart"/>
      <w:r w:rsidR="003812C9">
        <w:t>realizzi</w:t>
      </w:r>
      <w:proofErr w:type="gramEnd"/>
      <w:r w:rsidR="003812C9">
        <w:t xml:space="preserve"> la massima efficienza, è che essa torni ad essere neutrale. L’importanza della moneta va intesa “in negativo”, nel senso che occorre impedire c</w:t>
      </w:r>
      <w:r w:rsidR="00996E5E">
        <w:t>he divenga causa di instabilità</w:t>
      </w:r>
      <w:r w:rsidR="003812C9">
        <w:rPr>
          <w:i/>
        </w:rPr>
        <w:tab/>
      </w:r>
    </w:p>
    <w:p w14:paraId="549BAF9F" w14:textId="77777777" w:rsidR="003812C9" w:rsidRDefault="003812C9" w:rsidP="00996E5E">
      <w:pPr>
        <w:pStyle w:val="p33"/>
        <w:tabs>
          <w:tab w:val="clear" w:pos="720"/>
        </w:tabs>
        <w:spacing w:after="60" w:line="240" w:lineRule="auto"/>
      </w:pPr>
      <w:r>
        <w:t xml:space="preserve">La curva di Phillips </w:t>
      </w:r>
      <w:r w:rsidR="00996E5E">
        <w:t>aumentata delle aspettative</w:t>
      </w:r>
    </w:p>
    <w:p w14:paraId="73AD3F06" w14:textId="77777777" w:rsidR="00524755" w:rsidRDefault="002F12CD">
      <w:pPr>
        <w:jc w:val="both"/>
      </w:pPr>
      <w:r>
        <w:t>La curva di Phillips intende asserire un trade-off fra disoccupazione e inflazione. Per Friedman</w:t>
      </w:r>
      <w:r w:rsidR="00695BC5">
        <w:t>, se l’inflazione è anticipata dai soggetti del sistema economico (e quasi sempre lo è), il tasso di disoccupazione non si abbassa al di sotto del “tasso naturale di disoccupazione”.</w:t>
      </w:r>
      <w:r>
        <w:t xml:space="preserve"> </w:t>
      </w:r>
      <w:r w:rsidR="00695BC5">
        <w:t>I</w:t>
      </w:r>
      <w:r>
        <w:t xml:space="preserve">l trade-off può </w:t>
      </w:r>
      <w:r w:rsidR="00695BC5">
        <w:t>verificarsi solo se l’inflazione non è anticipata, e può essere</w:t>
      </w:r>
      <w:r>
        <w:t xml:space="preserve"> solo temporaneo</w:t>
      </w:r>
      <w:r w:rsidR="00695BC5">
        <w:t xml:space="preserve">. </w:t>
      </w:r>
      <w:r w:rsidR="00524755">
        <w:t>Per mantenere la disoccupazione al di sotto del tasso naturale le autorità non devono soltanto provocare inflazione, bensì inflazione via via crescente</w:t>
      </w:r>
      <w:r w:rsidR="007C1439">
        <w:t>, cioè un’accelerazione del tasso di inflazione</w:t>
      </w:r>
      <w:r w:rsidR="00524755">
        <w:t>.</w:t>
      </w:r>
    </w:p>
    <w:p w14:paraId="5857C855" w14:textId="1325766E" w:rsidR="003812C9" w:rsidRDefault="000B1B3C" w:rsidP="00B221CA">
      <w:pPr>
        <w:jc w:val="both"/>
      </w:pPr>
      <w:r>
        <w:t xml:space="preserve">In Figura 1 la retta verticale indica la curva di Phillips di lungo periodo, mentre le linee identificate da AB e CD sono le curve di </w:t>
      </w:r>
      <w:r w:rsidR="00B221CA">
        <w:t>P</w:t>
      </w:r>
      <w:r>
        <w:t>hillips di breve periodo</w:t>
      </w:r>
      <w:r w:rsidR="00B221CA">
        <w:t xml:space="preserve">. </w:t>
      </w:r>
      <w:r w:rsidR="003812C9">
        <w:t xml:space="preserve">Nel sistema (punto A) prevale il tasso di disoccupazione naturale </w:t>
      </w:r>
      <w:proofErr w:type="spellStart"/>
      <w:r w:rsidR="003812C9">
        <w:rPr>
          <w:sz w:val="26"/>
        </w:rPr>
        <w:t>d</w:t>
      </w:r>
      <w:r w:rsidR="003812C9">
        <w:rPr>
          <w:sz w:val="26"/>
          <w:vertAlign w:val="subscript"/>
        </w:rPr>
        <w:t>n</w:t>
      </w:r>
      <w:proofErr w:type="spellEnd"/>
      <w:r w:rsidR="003812C9">
        <w:t>; i soggetti si aspettano prezzi costanti (</w:t>
      </w:r>
      <w:r w:rsidR="00B221CA">
        <w:t>dP/P</w:t>
      </w:r>
      <w:r w:rsidR="003812C9">
        <w:t xml:space="preserve"> = 0). L</w:t>
      </w:r>
      <w:r w:rsidR="0059690B">
        <w:t>’</w:t>
      </w:r>
      <w:r w:rsidR="003812C9">
        <w:t>attuazione di una politica espansiva tesa a ridurre il tasso di disoccupazio</w:t>
      </w:r>
      <w:r w:rsidR="003812C9">
        <w:softHyphen/>
        <w:t>ne fino a</w:t>
      </w:r>
      <w:r w:rsidR="00764EA1">
        <w:t xml:space="preserve"> </w:t>
      </w:r>
      <w:r w:rsidR="003812C9">
        <w:t>d</w:t>
      </w:r>
      <w:r w:rsidR="00E31CB9">
        <w:rPr>
          <w:vertAlign w:val="subscript"/>
        </w:rPr>
        <w:t>1</w:t>
      </w:r>
      <w:r w:rsidR="00764EA1">
        <w:t xml:space="preserve"> </w:t>
      </w:r>
      <w:r w:rsidR="003812C9">
        <w:t>provoca un aumento di sa</w:t>
      </w:r>
      <w:r w:rsidR="003812C9">
        <w:softHyphen/>
        <w:t>lari e prezzi</w:t>
      </w:r>
      <w:r w:rsidR="00B221CA">
        <w:t>, determinando un tasso di inflazione (dP/P)</w:t>
      </w:r>
      <w:r w:rsidR="00B221CA">
        <w:rPr>
          <w:vertAlign w:val="subscript"/>
        </w:rPr>
        <w:t>1</w:t>
      </w:r>
      <w:r w:rsidR="00B221CA">
        <w:t>, e collocando il sistema economico nel punto B</w:t>
      </w:r>
      <w:r w:rsidR="003812C9">
        <w:t>. La comparsa di un tasso di inflazione positivo induce gli individui a rivedere le proprie attese, incorporandole nella trattativa per la determinazione dei nuovi salari; la domanda di lavoro si riduce e l’occupazione torna al livello naturale</w:t>
      </w:r>
      <w:r w:rsidR="00B221CA">
        <w:t xml:space="preserve">. </w:t>
      </w:r>
      <w:r w:rsidR="003812C9">
        <w:t xml:space="preserve">Tale processo è rappresentato dallo spostamento da B a C. </w:t>
      </w:r>
      <w:r w:rsidR="008A3907">
        <w:t>Dunque, appena i percettori di salari adeguano le loro aspettative all’inflazione effettiva, la curva di Phillips di breve periodo si sposta da AB a CD: al tasso naturale di disoccupazione ora corrisponde un’inflazione attesa pari a (dP/P)</w:t>
      </w:r>
      <w:r w:rsidR="008A3907">
        <w:rPr>
          <w:vertAlign w:val="subscript"/>
        </w:rPr>
        <w:t>1</w:t>
      </w:r>
      <w:r w:rsidR="008A3907">
        <w:t>, anziché un’inflazione nulla come avveniva nel punto A.</w:t>
      </w:r>
      <w:r w:rsidR="003812C9">
        <w:t xml:space="preserve"> Se i pubbli</w:t>
      </w:r>
      <w:r w:rsidR="003812C9">
        <w:softHyphen/>
        <w:t xml:space="preserve">ci poteri decidono di </w:t>
      </w:r>
      <w:r w:rsidR="00996E5E">
        <w:t>ritornare al tasso di disoccupazione d</w:t>
      </w:r>
      <w:r w:rsidR="00FE3CB8">
        <w:rPr>
          <w:vertAlign w:val="subscript"/>
        </w:rPr>
        <w:t>1</w:t>
      </w:r>
      <w:r w:rsidR="00996E5E">
        <w:t>, devono sorprendere i percettori di salario inducendo un tasso di inflazione pari a (dP/P)</w:t>
      </w:r>
      <w:r w:rsidR="00996E5E">
        <w:rPr>
          <w:vertAlign w:val="subscript"/>
        </w:rPr>
        <w:t>2</w:t>
      </w:r>
      <w:r w:rsidR="00996E5E">
        <w:t>.</w:t>
      </w:r>
      <w:r w:rsidR="00996E5E">
        <w:rPr>
          <w:vertAlign w:val="subscript"/>
        </w:rPr>
        <w:t xml:space="preserve"> </w:t>
      </w:r>
      <w:r w:rsidR="00996E5E">
        <w:t>I</w:t>
      </w:r>
      <w:r w:rsidR="003812C9">
        <w:t>l sistema si col</w:t>
      </w:r>
      <w:r w:rsidR="0059690B">
        <w:t xml:space="preserve">locherà in un primo momento in </w:t>
      </w:r>
      <w:r w:rsidR="00D51566">
        <w:t xml:space="preserve">D e </w:t>
      </w:r>
      <w:r w:rsidR="002F12CD">
        <w:t xml:space="preserve">poi </w:t>
      </w:r>
      <w:r w:rsidR="003812C9">
        <w:t>ritornerà in E</w:t>
      </w:r>
      <w:r w:rsidR="00996E5E">
        <w:t>;</w:t>
      </w:r>
      <w:r w:rsidR="003812C9">
        <w:t xml:space="preserve"> ma con un tasso </w:t>
      </w:r>
      <w:r w:rsidR="00996E5E">
        <w:t>di inflazione ancora maggiore,</w:t>
      </w:r>
      <w:r w:rsidR="00FE3CB8">
        <w:t xml:space="preserve"> e </w:t>
      </w:r>
      <w:r w:rsidR="00996E5E">
        <w:t xml:space="preserve">permanente, in quanto sarà incorporato </w:t>
      </w:r>
      <w:r w:rsidR="003812C9">
        <w:t>ne</w:t>
      </w:r>
      <w:r w:rsidR="00996E5E">
        <w:t>lle aspettative dei soggetti</w:t>
      </w:r>
      <w:r w:rsidR="003812C9">
        <w:t>.</w:t>
      </w:r>
    </w:p>
    <w:p w14:paraId="3AAD4829" w14:textId="2D680147" w:rsidR="001063BF" w:rsidRDefault="00D51566" w:rsidP="007C1439">
      <w:pPr>
        <w:ind w:firstLine="284"/>
        <w:jc w:val="both"/>
      </w:pPr>
      <w:r>
        <w:t xml:space="preserve">Dunque, mentre </w:t>
      </w:r>
      <w:r w:rsidR="003812C9">
        <w:t>per i diversi brevi periodi sono concepibili curve di Phillips inclinate negativamente, nel lungo periodo pu</w:t>
      </w:r>
      <w:r w:rsidR="007C7AE9">
        <w:t xml:space="preserve">ò esistere solo </w:t>
      </w:r>
      <w:r w:rsidR="002F12CD">
        <w:t xml:space="preserve">una </w:t>
      </w:r>
      <w:r w:rsidR="00695BC5">
        <w:t>pseudo-curva</w:t>
      </w:r>
      <w:r w:rsidR="00764EA1">
        <w:t xml:space="preserve"> </w:t>
      </w:r>
      <w:r w:rsidR="003812C9">
        <w:t>di</w:t>
      </w:r>
      <w:r w:rsidR="00764EA1">
        <w:t xml:space="preserve"> </w:t>
      </w:r>
      <w:r w:rsidR="003812C9">
        <w:t>Phillips rappresentata dalla semiretta perpendicolare all</w:t>
      </w:r>
      <w:r w:rsidR="0059690B">
        <w:t>’</w:t>
      </w:r>
      <w:r w:rsidR="003812C9">
        <w:t xml:space="preserve">asse delle ascisse nel punto </w:t>
      </w:r>
      <w:r w:rsidR="007C1439">
        <w:t xml:space="preserve">A, corrispondente al tasso di disoccupazione naturale </w:t>
      </w:r>
      <w:proofErr w:type="spellStart"/>
      <w:r w:rsidR="003812C9">
        <w:rPr>
          <w:sz w:val="26"/>
        </w:rPr>
        <w:t>d</w:t>
      </w:r>
      <w:r w:rsidR="003812C9">
        <w:rPr>
          <w:sz w:val="26"/>
          <w:vertAlign w:val="subscript"/>
        </w:rPr>
        <w:t>n</w:t>
      </w:r>
      <w:proofErr w:type="spellEnd"/>
      <w:r w:rsidR="003812C9">
        <w:t>.</w:t>
      </w:r>
    </w:p>
    <w:p w14:paraId="24B61A39" w14:textId="77777777" w:rsidR="003812C9" w:rsidRDefault="003812C9">
      <w:pPr>
        <w:pStyle w:val="p33"/>
        <w:tabs>
          <w:tab w:val="clear" w:pos="720"/>
        </w:tabs>
        <w:spacing w:line="240" w:lineRule="auto"/>
      </w:pPr>
    </w:p>
    <w:p w14:paraId="7918C190" w14:textId="77777777" w:rsidR="00E31CB9" w:rsidRDefault="00E31CB9">
      <w:pPr>
        <w:jc w:val="both"/>
      </w:pPr>
      <w:r>
        <w:rPr>
          <w:noProof/>
        </w:rPr>
        <w:drawing>
          <wp:inline distT="0" distB="0" distL="0" distR="0" wp14:anchorId="740BE217" wp14:editId="06ED7D93">
            <wp:extent cx="4333996" cy="2799205"/>
            <wp:effectExtent l="0" t="0" r="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4DD01.tmp"/>
                    <pic:cNvPicPr/>
                  </pic:nvPicPr>
                  <pic:blipFill>
                    <a:blip r:embed="rId14">
                      <a:extLst>
                        <a:ext uri="{28A0092B-C50C-407E-A947-70E740481C1C}">
                          <a14:useLocalDpi xmlns:a14="http://schemas.microsoft.com/office/drawing/2010/main" val="0"/>
                        </a:ext>
                      </a:extLst>
                    </a:blip>
                    <a:stretch>
                      <a:fillRect/>
                    </a:stretch>
                  </pic:blipFill>
                  <pic:spPr>
                    <a:xfrm>
                      <a:off x="0" y="0"/>
                      <a:ext cx="4333996" cy="2799205"/>
                    </a:xfrm>
                    <a:prstGeom prst="rect">
                      <a:avLst/>
                    </a:prstGeom>
                  </pic:spPr>
                </pic:pic>
              </a:graphicData>
            </a:graphic>
          </wp:inline>
        </w:drawing>
      </w:r>
    </w:p>
    <w:p w14:paraId="45C6AEBE" w14:textId="77777777" w:rsidR="00E31CB9" w:rsidRDefault="00E31CB9">
      <w:pPr>
        <w:jc w:val="both"/>
      </w:pPr>
    </w:p>
    <w:p w14:paraId="722A8B8F" w14:textId="77777777" w:rsidR="00E31CB9" w:rsidRDefault="00E31CB9">
      <w:pPr>
        <w:jc w:val="both"/>
      </w:pPr>
    </w:p>
    <w:p w14:paraId="6538D34D" w14:textId="77777777" w:rsidR="00E31CB9" w:rsidRDefault="00E31CB9">
      <w:pPr>
        <w:jc w:val="both"/>
      </w:pPr>
    </w:p>
    <w:p w14:paraId="500F0F9B" w14:textId="77777777" w:rsidR="003812C9" w:rsidRDefault="0059690B" w:rsidP="00FE3CB8">
      <w:pPr>
        <w:spacing w:after="120"/>
        <w:jc w:val="center"/>
      </w:pPr>
      <w:r>
        <w:lastRenderedPageBreak/>
        <w:t>I</w:t>
      </w:r>
      <w:r w:rsidR="00852AC5">
        <w:t>l</w:t>
      </w:r>
      <w:r>
        <w:t xml:space="preserve"> </w:t>
      </w:r>
      <w:r w:rsidR="00852AC5">
        <w:t>monetarismo fiscale</w:t>
      </w:r>
    </w:p>
    <w:p w14:paraId="6CD696F4" w14:textId="77777777" w:rsidR="003812C9" w:rsidRDefault="003812C9">
      <w:pPr>
        <w:jc w:val="both"/>
      </w:pPr>
      <w:r>
        <w:t xml:space="preserve">Nel corso degli anni Settanta Karl Brunner e Allan </w:t>
      </w:r>
      <w:proofErr w:type="spellStart"/>
      <w:r>
        <w:t>Meltzer</w:t>
      </w:r>
      <w:proofErr w:type="spellEnd"/>
      <w:r>
        <w:t xml:space="preserve"> hanno elabora</w:t>
      </w:r>
      <w:r>
        <w:softHyphen/>
        <w:t>to un approccio teorico ai problemi macroeconomici che, seppur decisamen</w:t>
      </w:r>
      <w:r>
        <w:softHyphen/>
        <w:t>te monetarista, si distacca per certi aspetti dall'impostazione di Friedman</w:t>
      </w:r>
      <w:r w:rsidR="00852AC5">
        <w:rPr>
          <w:rStyle w:val="Rimandonotaapidipagina"/>
        </w:rPr>
        <w:footnoteReference w:id="6"/>
      </w:r>
      <w:r>
        <w:t>. Se per quanto riguarda la descrizione del meccanismo di trasmissione degli impulsi monetari al settore reale l'approccio Brunner-</w:t>
      </w:r>
      <w:proofErr w:type="spellStart"/>
      <w:r>
        <w:t>Meltzer</w:t>
      </w:r>
      <w:proofErr w:type="spellEnd"/>
      <w:r>
        <w:t xml:space="preserve"> è molto vici</w:t>
      </w:r>
      <w:r>
        <w:softHyphen/>
        <w:t>no all'impostazione di Friedman, sostanziali divergenze emergono dall</w:t>
      </w:r>
      <w:r w:rsidR="0059690B">
        <w:t>’</w:t>
      </w:r>
      <w:r>
        <w:t>esa</w:t>
      </w:r>
      <w:r>
        <w:softHyphen/>
        <w:t>me degli effetti di una manovra fiscale.</w:t>
      </w:r>
    </w:p>
    <w:p w14:paraId="7F6A132F" w14:textId="77777777" w:rsidR="003812C9" w:rsidRDefault="003812C9" w:rsidP="004C2E5E">
      <w:pPr>
        <w:ind w:firstLine="284"/>
        <w:jc w:val="both"/>
      </w:pPr>
      <w:r>
        <w:t>Friedman, infatti, sulla base del fenomeno dello “spiazzamento” (</w:t>
      </w:r>
      <w:proofErr w:type="spellStart"/>
      <w:r>
        <w:rPr>
          <w:i/>
        </w:rPr>
        <w:t>crowding</w:t>
      </w:r>
      <w:proofErr w:type="spellEnd"/>
      <w:r>
        <w:rPr>
          <w:i/>
        </w:rPr>
        <w:t>-out</w:t>
      </w:r>
      <w:r>
        <w:t xml:space="preserve">) nega che la politica fiscale “pura” (che non dà luogo a variazioni dello stock di moneta) sia in grado di influenzare in modo permanente il sistema economico. Brunner e </w:t>
      </w:r>
      <w:proofErr w:type="spellStart"/>
      <w:r>
        <w:t>Meltzer</w:t>
      </w:r>
      <w:proofErr w:type="spellEnd"/>
      <w:r>
        <w:t xml:space="preserve">, invece, sostengono una posizione diversa e </w:t>
      </w:r>
      <w:r w:rsidR="00852AC5">
        <w:t xml:space="preserve">più problematica, </w:t>
      </w:r>
      <w:r>
        <w:t xml:space="preserve">la politica fiscale </w:t>
      </w:r>
      <w:r w:rsidR="00852AC5">
        <w:t>ha</w:t>
      </w:r>
      <w:r>
        <w:t xml:space="preserve"> effetti sia nominali sia reali sul sistema economico.</w:t>
      </w:r>
    </w:p>
    <w:p w14:paraId="236EFEB7" w14:textId="77777777" w:rsidR="003812C9" w:rsidRDefault="003812C9" w:rsidP="004C2E5E">
      <w:pPr>
        <w:ind w:firstLine="284"/>
        <w:jc w:val="both"/>
      </w:pPr>
      <w:r>
        <w:t xml:space="preserve">In particolare, una manovra di politica fiscale avrà dapprima un effetto di impatto sul livello dei prezzi e sulla quantità prodotta (pari al </w:t>
      </w:r>
      <w:r w:rsidR="005C4F05">
        <w:t>m</w:t>
      </w:r>
      <w:r>
        <w:t>oltipli</w:t>
      </w:r>
      <w:r>
        <w:softHyphen/>
        <w:t>catore keynesiano); tuttavia l</w:t>
      </w:r>
      <w:r w:rsidR="0059690B">
        <w:t>’</w:t>
      </w:r>
      <w:r>
        <w:t>effetto di “spiazzamento”</w:t>
      </w:r>
      <w:r w:rsidR="005C4F05">
        <w:t xml:space="preserve"> </w:t>
      </w:r>
      <w:r>
        <w:t xml:space="preserve">di lungo periodo ne riduce gli effetti sul livello della produzione. </w:t>
      </w:r>
      <w:proofErr w:type="gramStart"/>
      <w:r>
        <w:t>In seguito</w:t>
      </w:r>
      <w:proofErr w:type="gramEnd"/>
      <w:r>
        <w:t xml:space="preserve"> diventa rile</w:t>
      </w:r>
      <w:r>
        <w:softHyphen/>
        <w:t>vante 1’“effetto finanziario”</w:t>
      </w:r>
      <w:r>
        <w:rPr>
          <w:vertAlign w:val="superscript"/>
        </w:rPr>
        <w:t xml:space="preserve"> </w:t>
      </w:r>
      <w:r>
        <w:t>della politica fiscale, originato dal pro</w:t>
      </w:r>
      <w:r>
        <w:softHyphen/>
        <w:t>cesso di aggiustamento degli stock esistenti di base monetaria e di titoli del debito pubblico, in conseguenza del finanziamento del disavanzo pubblico. Variazioni di spese o di entrate influenzano l</w:t>
      </w:r>
      <w:r w:rsidR="0059690B">
        <w:t>’</w:t>
      </w:r>
      <w:r>
        <w:t>attività economica agendo sullo stock di ricchezza detenuto dagli operatori, e causando una succes</w:t>
      </w:r>
      <w:r>
        <w:softHyphen/>
        <w:t>sione di effetti di sostituzione, cioè di aggiustamenti di portafoglio. Gli aggregati monetari, allora, diventano dipendenti, in larga misura, dal bilancio pubblico.</w:t>
      </w:r>
    </w:p>
    <w:p w14:paraId="742E8A12" w14:textId="77777777" w:rsidR="003812C9" w:rsidRDefault="003812C9" w:rsidP="00D51566">
      <w:pPr>
        <w:spacing w:after="240"/>
        <w:ind w:firstLine="284"/>
        <w:jc w:val="both"/>
      </w:pPr>
      <w:r>
        <w:t>L</w:t>
      </w:r>
      <w:r w:rsidR="0059690B">
        <w:t>’</w:t>
      </w:r>
      <w:r>
        <w:t xml:space="preserve">effetto finanziario rappresenta gran parte dell’effetto totale della politica fiscale. Per B. e M. gli impulsi monetari </w:t>
      </w:r>
      <w:proofErr w:type="gramStart"/>
      <w:r>
        <w:t>cosi</w:t>
      </w:r>
      <w:proofErr w:type="gramEnd"/>
      <w:r>
        <w:t xml:space="preserve"> trasmessi dal settore pubblico sono i principali responsabili delle fluttuazioni cicliche dell</w:t>
      </w:r>
      <w:r w:rsidR="0059690B">
        <w:t>’</w:t>
      </w:r>
      <w:r>
        <w:t>economia, e quindi della instabilità del settore privato. Anche l</w:t>
      </w:r>
      <w:r w:rsidR="0059690B">
        <w:t>’</w:t>
      </w:r>
      <w:r>
        <w:t>inflazione degli anni Settanta dipende dall</w:t>
      </w:r>
      <w:r w:rsidR="0059690B">
        <w:t>’</w:t>
      </w:r>
      <w:r>
        <w:t>effetto finanziario delle politiche di bi</w:t>
      </w:r>
      <w:r>
        <w:softHyphen/>
        <w:t>lancio. Le prescrizioni di politica economica, allora, si basano sulla limitazione della discrezionalità del settore pubblico, rappresentata dalle seguenti regole di comportamento: spesa pubblica formulata in termini nomi</w:t>
      </w:r>
      <w:r>
        <w:softHyphen/>
        <w:t>nali anziché reali; incrementi del gettito fiscale proporzionali all</w:t>
      </w:r>
      <w:r w:rsidR="0059690B">
        <w:t>’</w:t>
      </w:r>
      <w:r>
        <w:t>incre</w:t>
      </w:r>
      <w:r>
        <w:softHyphen/>
        <w:t>mento del livello dei prezzi; limitazioni della crescita della moneta entro una fascia prestabilita.</w:t>
      </w:r>
    </w:p>
    <w:p w14:paraId="3873BB57" w14:textId="77777777" w:rsidR="00164039" w:rsidRDefault="00164039">
      <w:pPr>
        <w:jc w:val="both"/>
      </w:pPr>
    </w:p>
    <w:p w14:paraId="4AE6DA89" w14:textId="77777777" w:rsidR="003812C9" w:rsidRDefault="003812C9" w:rsidP="004C2E5E">
      <w:pPr>
        <w:spacing w:after="120"/>
        <w:jc w:val="center"/>
      </w:pPr>
      <w:r>
        <w:t>M</w:t>
      </w:r>
      <w:r w:rsidR="002F12CD">
        <w:t>etodologia</w:t>
      </w:r>
    </w:p>
    <w:p w14:paraId="155AA31F" w14:textId="77777777" w:rsidR="003812C9" w:rsidRDefault="003812C9">
      <w:pPr>
        <w:jc w:val="both"/>
      </w:pPr>
      <w:r>
        <w:t>La Scuola di Chicago è positivista</w:t>
      </w:r>
      <w:r w:rsidR="009B15AF">
        <w:rPr>
          <w:rStyle w:val="Rimandonotaapidipagina"/>
        </w:rPr>
        <w:footnoteReference w:id="7"/>
      </w:r>
      <w:r>
        <w:t xml:space="preserve"> sia riguardo all’etica sia nella metodologia di indagine. Per quanto concerne il primo aspetto, non esistono valori assoluti che siano indipendenti dalle preferenze soggettive di individui inevitabilmente fallaci. Circa il secondo, le leggi che descrivono il mondo sono generalizzazioni delle rilevazioni empiriche, ottenute attraverso un procedimento induttivo. </w:t>
      </w:r>
    </w:p>
    <w:p w14:paraId="51309E93" w14:textId="77777777" w:rsidR="00164039" w:rsidRDefault="003812C9" w:rsidP="004C2E5E">
      <w:pPr>
        <w:ind w:firstLine="284"/>
        <w:jc w:val="both"/>
      </w:pPr>
      <w:r>
        <w:t xml:space="preserve">Tale metodo induttivo, o “dell’economia positiva”, è fondato sulla seguente procedura: a) formulazione di un’ipotesi provvisoria sul fenomeno osservato (esempio: la domanda è inversamente correlata con il prezzo); b) formulazione dell’ipotesi in linguaggio matematico, cioè creazione di un “modello”, in modo da poter effettuare successivamente un controllo statistico. In tale contesto ogni grandezza deve essere definita in modo da poter essere misurata; c) verifica: il ricercatore controlla il modello in base ai dati statistici disponibili. Se i dati concordano con l’ipotesi (con il modello matematico), la teoria è valida; altrimenti viene respinta. </w:t>
      </w:r>
    </w:p>
    <w:p w14:paraId="51403DBA" w14:textId="77777777" w:rsidR="003812C9" w:rsidRPr="008142B1" w:rsidRDefault="00164039" w:rsidP="004C2E5E">
      <w:pPr>
        <w:ind w:firstLine="284"/>
        <w:jc w:val="both"/>
      </w:pPr>
      <w:r>
        <w:lastRenderedPageBreak/>
        <w:t>Una teoria economica dev’essere giudicata in base alla sua capacità predittiva; non importa la correttezza</w:t>
      </w:r>
      <w:r w:rsidR="008142B1">
        <w:t xml:space="preserve"> delle sue assunzioni iniziali.</w:t>
      </w:r>
      <w:r w:rsidR="003812C9" w:rsidRPr="008142B1">
        <w:t xml:space="preserve"> </w:t>
      </w:r>
      <w:r w:rsidR="005C4F05">
        <w:t>Le assunzioni iniziali non devono essere “realistiche” sul piano descrittivo, perché non lo sono mai, bensì devono essere delle buone approssimazioni in vista dell’ob</w:t>
      </w:r>
      <w:r w:rsidR="00704F56">
        <w:t>i</w:t>
      </w:r>
      <w:r w:rsidR="005C4F05">
        <w:t>ettivo da analizzare</w:t>
      </w:r>
      <w:r w:rsidR="00704F56">
        <w:t>. Una teoria funziona se effettua previsioni accurate, e se ciò avviene vuol dire che le assunzioni iniziali sono valide.</w:t>
      </w:r>
    </w:p>
    <w:p w14:paraId="288CD79F" w14:textId="77777777" w:rsidR="00BD3DF5" w:rsidRDefault="003812C9" w:rsidP="004C2E5E">
      <w:pPr>
        <w:ind w:firstLine="284"/>
        <w:jc w:val="both"/>
      </w:pPr>
      <w:r>
        <w:t xml:space="preserve">La scuola </w:t>
      </w:r>
      <w:proofErr w:type="gramStart"/>
      <w:r>
        <w:t>monetarista dunque</w:t>
      </w:r>
      <w:proofErr w:type="gramEnd"/>
      <w:r>
        <w:t xml:space="preserve"> accetta la verifica empirica e l’indagine statistica, di cui si è servita ampiamente per controbattere le tesi sostenute dalla macroeconomia keynesiana. </w:t>
      </w:r>
    </w:p>
    <w:p w14:paraId="3E38BA71" w14:textId="77777777" w:rsidR="003812C9" w:rsidRDefault="007C7AE9" w:rsidP="00914D62">
      <w:pPr>
        <w:ind w:firstLine="284"/>
        <w:jc w:val="both"/>
      </w:pPr>
      <w:r>
        <w:t xml:space="preserve">Critiche </w:t>
      </w:r>
      <w:r w:rsidR="002F12CD">
        <w:t>- I</w:t>
      </w:r>
      <w:r w:rsidR="003812C9">
        <w:t>l metodo induttivo ha sub</w:t>
      </w:r>
      <w:r w:rsidR="002F12CD">
        <w:t>ì</w:t>
      </w:r>
      <w:r w:rsidR="003812C9">
        <w:t xml:space="preserve">to obiezioni di varia natura. Si è sostenuto che l’economia per molti aspetti si differenzia dalle scienze naturali, e ciò determina il venir meno della possibilità di giungere a conclusioni uniche ed incontrovertibili. </w:t>
      </w:r>
      <w:proofErr w:type="gramStart"/>
      <w:r w:rsidR="003812C9">
        <w:t>Innanzi tutto</w:t>
      </w:r>
      <w:proofErr w:type="gramEnd"/>
      <w:r w:rsidR="003812C9">
        <w:t xml:space="preserve"> non sarebbe determinabile in maniera oggettiva il grado di astrazione scientifica. Le leggi sono riferite a situazioni idealtipiche, non a situa</w:t>
      </w:r>
      <w:r w:rsidR="00DA634B">
        <w:t>zioni concrete. Per la scelta e</w:t>
      </w:r>
      <w:r w:rsidR="003812C9">
        <w:t xml:space="preserve"> il grado di astrazione non esistono, però, regole certe. Di fronte alla complessità dell’evento da studiare, l’economista cerca di isolare gli aspetti che egli ritiene essenziali; ma, facendo ciò,</w:t>
      </w:r>
      <w:r w:rsidR="00DA634B">
        <w:t xml:space="preserve"> compie un’operazione comunque </w:t>
      </w:r>
      <w:r w:rsidR="003812C9">
        <w:t xml:space="preserve">arbitraria. Secondariamente, nelle scienze sociali non è possibile effettuare esperimenti, </w:t>
      </w:r>
      <w:proofErr w:type="gramStart"/>
      <w:r w:rsidR="003812C9">
        <w:t>cioè</w:t>
      </w:r>
      <w:proofErr w:type="gramEnd"/>
      <w:r w:rsidR="003812C9">
        <w:t xml:space="preserve"> riprodurre in laboratorio le condizioni ideali previste dalla legge. In particolare, è impossibile effettuare “esperimenti controllati”, e cioè esperimenti in cui ogni altro fattore, tranne l’oggetto dell’indagine, è mantenuto costante (</w:t>
      </w:r>
      <w:proofErr w:type="spellStart"/>
      <w:r w:rsidR="003812C9">
        <w:rPr>
          <w:i/>
        </w:rPr>
        <w:t>ceteris</w:t>
      </w:r>
      <w:proofErr w:type="spellEnd"/>
      <w:r w:rsidR="003812C9">
        <w:rPr>
          <w:i/>
        </w:rPr>
        <w:t xml:space="preserve"> </w:t>
      </w:r>
      <w:proofErr w:type="spellStart"/>
      <w:r w:rsidR="003812C9">
        <w:rPr>
          <w:i/>
        </w:rPr>
        <w:t>paribus</w:t>
      </w:r>
      <w:proofErr w:type="spellEnd"/>
      <w:r w:rsidR="003812C9">
        <w:t xml:space="preserve">). </w:t>
      </w:r>
      <w:proofErr w:type="gramStart"/>
      <w:r w:rsidR="003812C9">
        <w:t>In terzo luogo</w:t>
      </w:r>
      <w:proofErr w:type="gramEnd"/>
      <w:r w:rsidR="003812C9">
        <w:t xml:space="preserve"> i dati statistici, soprattutto di epoche diverse, possono essere non omogenei, oppure insufficienti. Tale eventualità limita fortemente le possibilità di indagine, in quanto i criteri di riconoscibilità dei fatti economici devono essere uniformi. Ancora: poiché l’economia possiede una dimensione storica, la realtà oggetto di studio varia col trascorrere del tempo. Non solo: le realtà socio-culturali cambiano </w:t>
      </w:r>
      <w:proofErr w:type="spellStart"/>
      <w:r w:rsidR="003812C9">
        <w:t>da</w:t>
      </w:r>
      <w:proofErr w:type="spellEnd"/>
      <w:r w:rsidR="003812C9">
        <w:t xml:space="preserve"> luogo a luogo e, dunque, i risultati economici ottenuti in un ambito possono non valere in un altro. Infine, in economia, come nelle altre scienze sociali, lo studioso non è esterno al proprio oggetto di studio, e dunque la ricerca è condizionata dai suoi giudizi di valore (soprattutto nel campo normativo)</w:t>
      </w:r>
      <w:r w:rsidR="008C7328">
        <w:rPr>
          <w:rStyle w:val="Rimandonotaapidipagina"/>
        </w:rPr>
        <w:footnoteReference w:id="8"/>
      </w:r>
      <w:r w:rsidR="004C2E5E">
        <w:t>.</w:t>
      </w:r>
    </w:p>
    <w:p w14:paraId="21554610" w14:textId="77777777" w:rsidR="003812C9" w:rsidRDefault="003812C9">
      <w:pPr>
        <w:jc w:val="both"/>
      </w:pPr>
    </w:p>
    <w:p w14:paraId="5F6D9273" w14:textId="77777777" w:rsidR="008C7328" w:rsidRDefault="008C7328">
      <w:pPr>
        <w:jc w:val="both"/>
      </w:pPr>
    </w:p>
    <w:sectPr w:rsidR="008C7328" w:rsidSect="00914D62">
      <w:headerReference w:type="default" r:id="rId15"/>
      <w:type w:val="continuous"/>
      <w:pgSz w:w="11907" w:h="16840" w:code="9"/>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AB7A" w14:textId="77777777" w:rsidR="00E12AC4" w:rsidRDefault="00E12AC4">
      <w:r>
        <w:separator/>
      </w:r>
    </w:p>
  </w:endnote>
  <w:endnote w:type="continuationSeparator" w:id="0">
    <w:p w14:paraId="3F255D8B" w14:textId="77777777" w:rsidR="00E12AC4" w:rsidRDefault="00E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358F" w14:textId="77777777" w:rsidR="00E12AC4" w:rsidRDefault="00E12AC4">
      <w:r>
        <w:separator/>
      </w:r>
    </w:p>
  </w:footnote>
  <w:footnote w:type="continuationSeparator" w:id="0">
    <w:p w14:paraId="772573BA" w14:textId="77777777" w:rsidR="00E12AC4" w:rsidRDefault="00E12AC4">
      <w:r>
        <w:continuationSeparator/>
      </w:r>
    </w:p>
  </w:footnote>
  <w:footnote w:id="1">
    <w:p w14:paraId="5E76BC75" w14:textId="77777777" w:rsidR="009B15AF" w:rsidRPr="009B15AF" w:rsidRDefault="009B15AF" w:rsidP="009B15AF">
      <w:pPr>
        <w:jc w:val="both"/>
        <w:rPr>
          <w:sz w:val="20"/>
        </w:rPr>
      </w:pPr>
      <w:r>
        <w:rPr>
          <w:rStyle w:val="Rimandonotaapidipagina"/>
        </w:rPr>
        <w:footnoteRef/>
      </w:r>
      <w:r>
        <w:t xml:space="preserve"> </w:t>
      </w:r>
      <w:r w:rsidRPr="009B15AF">
        <w:rPr>
          <w:sz w:val="20"/>
        </w:rPr>
        <w:t xml:space="preserve">M. Friedman, </w:t>
      </w:r>
      <w:r w:rsidRPr="009B15AF">
        <w:rPr>
          <w:i/>
          <w:sz w:val="20"/>
        </w:rPr>
        <w:t xml:space="preserve">Riformulazione della teoria quantitativa della moneta </w:t>
      </w:r>
      <w:r w:rsidRPr="009B15AF">
        <w:rPr>
          <w:sz w:val="20"/>
        </w:rPr>
        <w:t xml:space="preserve">(1956), in </w:t>
      </w:r>
      <w:r w:rsidRPr="009B15AF">
        <w:rPr>
          <w:i/>
          <w:sz w:val="20"/>
        </w:rPr>
        <w:t>Metodo, consumo e moneta</w:t>
      </w:r>
      <w:r w:rsidRPr="009B15AF">
        <w:rPr>
          <w:sz w:val="20"/>
        </w:rPr>
        <w:t xml:space="preserve">, il Mulino, Bologna, 1996, pp. 215-239; ed. or. </w:t>
      </w:r>
      <w:r w:rsidRPr="00165443">
        <w:rPr>
          <w:i/>
          <w:sz w:val="20"/>
          <w:lang w:val="en-US"/>
        </w:rPr>
        <w:t xml:space="preserve">The Quantity Theory of Money: </w:t>
      </w:r>
      <w:proofErr w:type="gramStart"/>
      <w:r w:rsidRPr="00165443">
        <w:rPr>
          <w:i/>
          <w:sz w:val="20"/>
          <w:lang w:val="en-US"/>
        </w:rPr>
        <w:t>a</w:t>
      </w:r>
      <w:proofErr w:type="gramEnd"/>
      <w:r w:rsidRPr="00165443">
        <w:rPr>
          <w:i/>
          <w:sz w:val="20"/>
          <w:lang w:val="en-US"/>
        </w:rPr>
        <w:t xml:space="preserve"> Restatement</w:t>
      </w:r>
      <w:r w:rsidRPr="00165443">
        <w:rPr>
          <w:sz w:val="20"/>
          <w:lang w:val="en-US"/>
        </w:rPr>
        <w:t xml:space="preserve">, in M. Friedman (a </w:t>
      </w:r>
      <w:proofErr w:type="spellStart"/>
      <w:r w:rsidRPr="00165443">
        <w:rPr>
          <w:sz w:val="20"/>
          <w:lang w:val="en-US"/>
        </w:rPr>
        <w:t>cura</w:t>
      </w:r>
      <w:proofErr w:type="spellEnd"/>
      <w:r w:rsidRPr="00165443">
        <w:rPr>
          <w:sz w:val="20"/>
          <w:lang w:val="en-US"/>
        </w:rPr>
        <w:t xml:space="preserve"> di), </w:t>
      </w:r>
      <w:r w:rsidRPr="00165443">
        <w:rPr>
          <w:i/>
          <w:sz w:val="20"/>
          <w:lang w:val="en-US"/>
        </w:rPr>
        <w:t>Studies in the Quantity Theory of Money</w:t>
      </w:r>
      <w:r w:rsidRPr="00165443">
        <w:rPr>
          <w:sz w:val="20"/>
          <w:lang w:val="en-US"/>
        </w:rPr>
        <w:t xml:space="preserve">, University of Chicago Press, Chicago, 1956, pp. 3-21. </w:t>
      </w:r>
      <w:r>
        <w:rPr>
          <w:sz w:val="20"/>
        </w:rPr>
        <w:t>R</w:t>
      </w:r>
      <w:r w:rsidRPr="009B15AF">
        <w:rPr>
          <w:sz w:val="20"/>
        </w:rPr>
        <w:t xml:space="preserve">inforzata statisticamente da </w:t>
      </w:r>
      <w:r w:rsidR="00A55BBE">
        <w:rPr>
          <w:sz w:val="20"/>
        </w:rPr>
        <w:t xml:space="preserve">M. Friedman, A. Schwartz </w:t>
      </w:r>
      <w:r w:rsidR="00A55BBE" w:rsidRPr="00A55BBE">
        <w:rPr>
          <w:i/>
          <w:sz w:val="20"/>
        </w:rPr>
        <w:t>Il dollaro.</w:t>
      </w:r>
      <w:r w:rsidR="00A55BBE">
        <w:rPr>
          <w:sz w:val="20"/>
        </w:rPr>
        <w:t xml:space="preserve"> </w:t>
      </w:r>
      <w:r w:rsidRPr="009B15AF">
        <w:rPr>
          <w:i/>
          <w:sz w:val="20"/>
        </w:rPr>
        <w:t>Storia monetaria degli Stati Uniti, 1867-1960</w:t>
      </w:r>
      <w:r w:rsidRPr="009B15AF">
        <w:rPr>
          <w:sz w:val="20"/>
        </w:rPr>
        <w:t xml:space="preserve"> </w:t>
      </w:r>
      <w:r w:rsidR="00A55BBE">
        <w:rPr>
          <w:sz w:val="20"/>
        </w:rPr>
        <w:t>(</w:t>
      </w:r>
      <w:r w:rsidRPr="009B15AF">
        <w:rPr>
          <w:sz w:val="20"/>
        </w:rPr>
        <w:t>1963</w:t>
      </w:r>
      <w:r w:rsidR="00A55BBE">
        <w:rPr>
          <w:sz w:val="20"/>
        </w:rPr>
        <w:t>), Utet, Torino, 1979</w:t>
      </w:r>
      <w:r>
        <w:rPr>
          <w:sz w:val="20"/>
        </w:rPr>
        <w:t>.</w:t>
      </w:r>
    </w:p>
  </w:footnote>
  <w:footnote w:id="2">
    <w:p w14:paraId="0C28B35E" w14:textId="77777777" w:rsidR="00AB52BA" w:rsidRDefault="00AB52BA" w:rsidP="00822C40">
      <w:pPr>
        <w:pStyle w:val="Testonotaapidipagina"/>
        <w:jc w:val="both"/>
      </w:pPr>
      <w:r>
        <w:rPr>
          <w:rStyle w:val="Rimandonotaapidipagina"/>
        </w:rPr>
        <w:footnoteRef/>
      </w:r>
      <w:r>
        <w:t xml:space="preserve"> Il modo di identificare la moneta in realtà è empirico: si istitui</w:t>
      </w:r>
      <w:r w:rsidR="0090421D">
        <w:t>sce una relazione fra gli asset</w:t>
      </w:r>
      <w:r>
        <w:t xml:space="preserve"> monetari e un indicatore come il reddito nazionale</w:t>
      </w:r>
      <w:r w:rsidR="0061222C">
        <w:t xml:space="preserve"> (Prodotto interno lordo)</w:t>
      </w:r>
      <w:r>
        <w:t>; dunque nell’aggregato moneta potrebbero essere aggiunte altre componenti se i dati statistici</w:t>
      </w:r>
      <w:r w:rsidR="007D4129">
        <w:t xml:space="preserve"> evidenziano </w:t>
      </w:r>
      <w:r w:rsidR="00525F8F">
        <w:t>un</w:t>
      </w:r>
      <w:r w:rsidR="007D4129">
        <w:t xml:space="preserve">a </w:t>
      </w:r>
      <w:r w:rsidR="00525F8F">
        <w:t xml:space="preserve">miglior </w:t>
      </w:r>
      <w:r w:rsidR="00822C40">
        <w:t>cor</w:t>
      </w:r>
      <w:r w:rsidR="007D4129">
        <w:t>relazione con il reddito.</w:t>
      </w:r>
    </w:p>
  </w:footnote>
  <w:footnote w:id="3">
    <w:p w14:paraId="1075DA71" w14:textId="77777777" w:rsidR="00E172C9" w:rsidRPr="00E172C9" w:rsidRDefault="00E172C9" w:rsidP="004527F0">
      <w:pPr>
        <w:pStyle w:val="Testonotaapidipagina"/>
        <w:jc w:val="both"/>
      </w:pPr>
      <w:r>
        <w:rPr>
          <w:rStyle w:val="Rimandonotaapidipagina"/>
        </w:rPr>
        <w:footnoteRef/>
      </w:r>
      <w:r>
        <w:t xml:space="preserve"> Per </w:t>
      </w:r>
      <w:r w:rsidR="00165443">
        <w:t xml:space="preserve">N. </w:t>
      </w:r>
      <w:proofErr w:type="spellStart"/>
      <w:r>
        <w:t>Kaldor</w:t>
      </w:r>
      <w:proofErr w:type="spellEnd"/>
      <w:r>
        <w:t>, in opposizione ai monetaristi, l’offerta di moneta non può essere determinata esogenamente dalle autorità monetarie. Ciò sarebbe empiricamente dimostrato dal fallimento dei tentativi effettuati in questo senso da Stati Uniti (1980-’82) e Gran Bretagna (1979-’82); in Gran Bretagna nel 1981 il tasso di crescita di M</w:t>
      </w:r>
      <w:r>
        <w:rPr>
          <w:vertAlign w:val="subscript"/>
        </w:rPr>
        <w:t>3</w:t>
      </w:r>
      <w:r>
        <w:t xml:space="preserve"> fu del 22% contro un obiettivo del 6-10%. Per </w:t>
      </w:r>
      <w:proofErr w:type="spellStart"/>
      <w:r>
        <w:t>Kaldor</w:t>
      </w:r>
      <w:proofErr w:type="spellEnd"/>
      <w:r>
        <w:t xml:space="preserve"> l’offerta di moneta è endogena, nel senso che varia automaticamente con la domanda. </w:t>
      </w:r>
      <w:r w:rsidR="004527F0">
        <w:t xml:space="preserve">Questo perché, innanzi tutto, la banca centrale non può rifiutare lo sconto di titoli primari che le vengono presentati, altrimenti alcune banche potrebbero diventare insolventi per carenza di liquidità; </w:t>
      </w:r>
      <w:proofErr w:type="gramStart"/>
      <w:r w:rsidR="004527F0">
        <w:t>dunque</w:t>
      </w:r>
      <w:proofErr w:type="gramEnd"/>
      <w:r w:rsidR="004527F0">
        <w:t xml:space="preserve"> l’offerta si adegua alla domanda. </w:t>
      </w:r>
      <w:r>
        <w:t xml:space="preserve">È il reddito nominale </w:t>
      </w:r>
      <w:r w:rsidR="004527F0">
        <w:t>che determina la quantità di moneta.</w:t>
      </w:r>
    </w:p>
  </w:footnote>
  <w:footnote w:id="4">
    <w:p w14:paraId="343C9E25" w14:textId="6FADD28D" w:rsidR="00B67DB2" w:rsidRDefault="00B67DB2" w:rsidP="00B67DB2">
      <w:pPr>
        <w:pStyle w:val="Testonotaapidipagina"/>
        <w:jc w:val="both"/>
      </w:pPr>
      <w:r>
        <w:rPr>
          <w:rStyle w:val="Rimandonotaapidipagina"/>
        </w:rPr>
        <w:footnoteRef/>
      </w:r>
      <w:r>
        <w:t xml:space="preserve"> i</w:t>
      </w:r>
      <w:r w:rsidRPr="00B67DB2">
        <w:rPr>
          <w:vertAlign w:val="subscript"/>
        </w:rPr>
        <w:t>b</w:t>
      </w:r>
      <w:r>
        <w:t xml:space="preserve"> e i</w:t>
      </w:r>
      <w:r w:rsidRPr="00B67DB2">
        <w:rPr>
          <w:vertAlign w:val="subscript"/>
        </w:rPr>
        <w:t>e</w:t>
      </w:r>
      <w:r>
        <w:t xml:space="preserve"> rappresentano il costo opportunità della scelta di tenere la ricchezza in forma di moneta anziché in forma di obbligazioni e azioni. </w:t>
      </w:r>
      <w:proofErr w:type="gramStart"/>
      <w:r w:rsidR="00C62E10">
        <w:t>Dunque</w:t>
      </w:r>
      <w:proofErr w:type="gramEnd"/>
      <w:r w:rsidR="00C62E10">
        <w:t xml:space="preserve"> più sono elevati è minore è la domanda di moneta.</w:t>
      </w:r>
    </w:p>
  </w:footnote>
  <w:footnote w:id="5">
    <w:p w14:paraId="1449EADC" w14:textId="77777777" w:rsidR="00C55F40" w:rsidRDefault="00C55F40">
      <w:pPr>
        <w:pStyle w:val="Testonotaapidipagina"/>
      </w:pPr>
      <w:r>
        <w:rPr>
          <w:rStyle w:val="Rimandonotaapidipagina"/>
        </w:rPr>
        <w:footnoteRef/>
      </w:r>
      <w:r>
        <w:t xml:space="preserve"> Nel breve </w:t>
      </w:r>
      <w:proofErr w:type="gramStart"/>
      <w:r>
        <w:t>periodo dunque</w:t>
      </w:r>
      <w:proofErr w:type="gramEnd"/>
      <w:r>
        <w:t xml:space="preserve"> l’efficacia della politica monetaria ha un’immediatezza sconosciuta ai keynesiani.</w:t>
      </w:r>
    </w:p>
  </w:footnote>
  <w:footnote w:id="6">
    <w:p w14:paraId="72C3AA2C" w14:textId="77777777" w:rsidR="00852AC5" w:rsidRPr="00852AC5" w:rsidRDefault="00852AC5" w:rsidP="00852AC5">
      <w:pPr>
        <w:pStyle w:val="Testonotaapidipagina"/>
        <w:jc w:val="both"/>
        <w:rPr>
          <w:lang w:val="en-US"/>
        </w:rPr>
      </w:pPr>
      <w:r>
        <w:rPr>
          <w:rStyle w:val="Rimandonotaapidipagina"/>
        </w:rPr>
        <w:footnoteRef/>
      </w:r>
      <w:r w:rsidRPr="00852AC5">
        <w:rPr>
          <w:lang w:val="en-US"/>
        </w:rPr>
        <w:t xml:space="preserve"> K. Brunner, A.H. Meltzer, </w:t>
      </w:r>
      <w:r w:rsidRPr="00852AC5">
        <w:rPr>
          <w:i/>
          <w:lang w:val="en-US"/>
        </w:rPr>
        <w:t>An Aggregative Theory for a Closed Economy</w:t>
      </w:r>
      <w:r>
        <w:rPr>
          <w:lang w:val="en-US"/>
        </w:rPr>
        <w:t xml:space="preserve">, in J.L. Stein (a </w:t>
      </w:r>
      <w:proofErr w:type="spellStart"/>
      <w:r>
        <w:rPr>
          <w:lang w:val="en-US"/>
        </w:rPr>
        <w:t>cura</w:t>
      </w:r>
      <w:proofErr w:type="spellEnd"/>
      <w:r>
        <w:rPr>
          <w:lang w:val="en-US"/>
        </w:rPr>
        <w:t xml:space="preserve"> di), </w:t>
      </w:r>
      <w:r w:rsidRPr="00852AC5">
        <w:rPr>
          <w:i/>
          <w:lang w:val="en-US"/>
        </w:rPr>
        <w:t>Monetarism</w:t>
      </w:r>
      <w:r>
        <w:rPr>
          <w:lang w:val="en-US"/>
        </w:rPr>
        <w:t>, North-Holland, Amsterdam, 1976.</w:t>
      </w:r>
    </w:p>
  </w:footnote>
  <w:footnote w:id="7">
    <w:p w14:paraId="57645949" w14:textId="77777777" w:rsidR="009B15AF" w:rsidRPr="009B15AF" w:rsidRDefault="009B15AF" w:rsidP="009B15AF">
      <w:pPr>
        <w:jc w:val="both"/>
        <w:rPr>
          <w:sz w:val="20"/>
          <w:lang w:val="en-US"/>
        </w:rPr>
      </w:pPr>
      <w:r>
        <w:rPr>
          <w:rStyle w:val="Rimandonotaapidipagina"/>
        </w:rPr>
        <w:footnoteRef/>
      </w:r>
      <w:r w:rsidRPr="009B15AF">
        <w:t xml:space="preserve"> </w:t>
      </w:r>
      <w:r w:rsidRPr="009B15AF">
        <w:rPr>
          <w:sz w:val="20"/>
        </w:rPr>
        <w:t xml:space="preserve">M. Friedman, </w:t>
      </w:r>
      <w:r w:rsidRPr="009B15AF">
        <w:rPr>
          <w:i/>
          <w:sz w:val="20"/>
        </w:rPr>
        <w:t>La metodologia dell’economia positiva</w:t>
      </w:r>
      <w:r w:rsidRPr="009B15AF">
        <w:rPr>
          <w:sz w:val="20"/>
        </w:rPr>
        <w:t xml:space="preserve"> (1953), in </w:t>
      </w:r>
      <w:r w:rsidRPr="009B15AF">
        <w:rPr>
          <w:i/>
          <w:sz w:val="20"/>
        </w:rPr>
        <w:t>Metodo, consumo e moneta</w:t>
      </w:r>
      <w:r w:rsidRPr="009B15AF">
        <w:rPr>
          <w:sz w:val="20"/>
        </w:rPr>
        <w:t xml:space="preserve">, il Mulino, Bologna, 1996, pp. 93-136; ed. or. </w:t>
      </w:r>
      <w:r w:rsidRPr="009B15AF">
        <w:rPr>
          <w:i/>
          <w:sz w:val="20"/>
          <w:lang w:val="en-US"/>
        </w:rPr>
        <w:t>The Methodology of Positive Economics</w:t>
      </w:r>
      <w:r w:rsidRPr="009B15AF">
        <w:rPr>
          <w:sz w:val="20"/>
          <w:lang w:val="en-US"/>
        </w:rPr>
        <w:t xml:space="preserve">, in </w:t>
      </w:r>
      <w:r w:rsidRPr="009B15AF">
        <w:rPr>
          <w:i/>
          <w:sz w:val="20"/>
          <w:lang w:val="en-US"/>
        </w:rPr>
        <w:t xml:space="preserve">Essays in </w:t>
      </w:r>
      <w:r>
        <w:rPr>
          <w:i/>
          <w:sz w:val="20"/>
          <w:lang w:val="en-US"/>
        </w:rPr>
        <w:t>P</w:t>
      </w:r>
      <w:r w:rsidRPr="009B15AF">
        <w:rPr>
          <w:i/>
          <w:sz w:val="20"/>
          <w:lang w:val="en-US"/>
        </w:rPr>
        <w:t>ositive Economics</w:t>
      </w:r>
      <w:r w:rsidRPr="009B15AF">
        <w:rPr>
          <w:sz w:val="20"/>
          <w:lang w:val="en-US"/>
        </w:rPr>
        <w:t>, University of Chicago Press, Chicago, 1953.</w:t>
      </w:r>
    </w:p>
  </w:footnote>
  <w:footnote w:id="8">
    <w:p w14:paraId="3FC236BD" w14:textId="41964B13" w:rsidR="008C7328" w:rsidRPr="008C7328" w:rsidRDefault="008C7328" w:rsidP="008C7328">
      <w:pPr>
        <w:jc w:val="both"/>
        <w:rPr>
          <w:sz w:val="20"/>
        </w:rPr>
      </w:pPr>
      <w:r>
        <w:rPr>
          <w:rStyle w:val="Rimandonotaapidipagina"/>
        </w:rPr>
        <w:footnoteRef/>
      </w:r>
      <w:r>
        <w:t xml:space="preserve"> </w:t>
      </w:r>
      <w:r w:rsidRPr="008C7328">
        <w:rPr>
          <w:sz w:val="20"/>
        </w:rPr>
        <w:t xml:space="preserve">Per le differenze con la scuola Austriaca e le critiche da questa rivolte alla scuola di Chicago v. </w:t>
      </w:r>
      <w:r>
        <w:rPr>
          <w:sz w:val="20"/>
        </w:rPr>
        <w:t xml:space="preserve">P. Vernaglione, </w:t>
      </w:r>
      <w:r w:rsidRPr="008C7328">
        <w:rPr>
          <w:i/>
          <w:sz w:val="20"/>
        </w:rPr>
        <w:t>Austriaci e Monetaristi</w:t>
      </w:r>
      <w:r>
        <w:rPr>
          <w:sz w:val="20"/>
        </w:rPr>
        <w:t xml:space="preserve">, in Rothbardiana, </w:t>
      </w:r>
      <w:hyperlink r:id="rId1" w:history="1">
        <w:r w:rsidR="00656E50" w:rsidRPr="001F2754">
          <w:rPr>
            <w:rStyle w:val="Collegamentoipertestuale"/>
            <w:sz w:val="20"/>
          </w:rPr>
          <w:t>https://www.rothbard.it/teoria/austriaci-vs-monetaristi.doc</w:t>
        </w:r>
      </w:hyperlink>
      <w:r>
        <w:rPr>
          <w:sz w:val="20"/>
        </w:rPr>
        <w:t>, 31 luglio 2009</w:t>
      </w:r>
      <w:r w:rsidRPr="008C7328">
        <w:rPr>
          <w:sz w:val="20"/>
        </w:rPr>
        <w:t>.</w:t>
      </w:r>
    </w:p>
    <w:p w14:paraId="18BAB5BF" w14:textId="77777777" w:rsidR="008C7328" w:rsidRDefault="008C7328" w:rsidP="008C7328">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1528" w14:textId="77777777" w:rsidR="00914D62" w:rsidRDefault="00914D62">
    <w:pPr>
      <w:pStyle w:val="Intestazione"/>
      <w:jc w:val="center"/>
    </w:pPr>
    <w:r>
      <w:fldChar w:fldCharType="begin"/>
    </w:r>
    <w:r>
      <w:instrText>PAGE   \* MERGEFORMAT</w:instrText>
    </w:r>
    <w:r>
      <w:fldChar w:fldCharType="separate"/>
    </w:r>
    <w:r w:rsidR="00A55BBE">
      <w:rPr>
        <w:noProof/>
      </w:rPr>
      <w:t>2</w:t>
    </w:r>
    <w:r>
      <w:fldChar w:fldCharType="end"/>
    </w:r>
  </w:p>
  <w:p w14:paraId="45519CE3" w14:textId="77777777" w:rsidR="00914D62" w:rsidRDefault="00914D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1B47"/>
    <w:multiLevelType w:val="hybridMultilevel"/>
    <w:tmpl w:val="D2CC804A"/>
    <w:lvl w:ilvl="0" w:tplc="BFE07BC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921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2C9"/>
    <w:rsid w:val="00024712"/>
    <w:rsid w:val="00033995"/>
    <w:rsid w:val="00033CF7"/>
    <w:rsid w:val="000435A4"/>
    <w:rsid w:val="000B1B3C"/>
    <w:rsid w:val="000C0764"/>
    <w:rsid w:val="000D123A"/>
    <w:rsid w:val="000E3CE7"/>
    <w:rsid w:val="000F5DE8"/>
    <w:rsid w:val="0010073A"/>
    <w:rsid w:val="001063BF"/>
    <w:rsid w:val="001452FB"/>
    <w:rsid w:val="00161B37"/>
    <w:rsid w:val="00164039"/>
    <w:rsid w:val="00165443"/>
    <w:rsid w:val="00166B34"/>
    <w:rsid w:val="00170937"/>
    <w:rsid w:val="001A1D07"/>
    <w:rsid w:val="001D2F20"/>
    <w:rsid w:val="001E1F42"/>
    <w:rsid w:val="00230DDF"/>
    <w:rsid w:val="002312AB"/>
    <w:rsid w:val="00233597"/>
    <w:rsid w:val="0024388C"/>
    <w:rsid w:val="00271064"/>
    <w:rsid w:val="002E2BEE"/>
    <w:rsid w:val="002F12CD"/>
    <w:rsid w:val="00307733"/>
    <w:rsid w:val="0031689D"/>
    <w:rsid w:val="003301B0"/>
    <w:rsid w:val="00353493"/>
    <w:rsid w:val="003812C9"/>
    <w:rsid w:val="00390B68"/>
    <w:rsid w:val="003C41CD"/>
    <w:rsid w:val="003F148C"/>
    <w:rsid w:val="00417A5C"/>
    <w:rsid w:val="00442EBD"/>
    <w:rsid w:val="004527F0"/>
    <w:rsid w:val="00497152"/>
    <w:rsid w:val="004C2996"/>
    <w:rsid w:val="004C2E5E"/>
    <w:rsid w:val="004D76F8"/>
    <w:rsid w:val="004E1199"/>
    <w:rsid w:val="00504D22"/>
    <w:rsid w:val="00521591"/>
    <w:rsid w:val="00524755"/>
    <w:rsid w:val="00525F8F"/>
    <w:rsid w:val="00535271"/>
    <w:rsid w:val="00537A20"/>
    <w:rsid w:val="00556E8D"/>
    <w:rsid w:val="0059690B"/>
    <w:rsid w:val="005C4F05"/>
    <w:rsid w:val="005F06CF"/>
    <w:rsid w:val="0060206C"/>
    <w:rsid w:val="0061222C"/>
    <w:rsid w:val="00622C44"/>
    <w:rsid w:val="0063206F"/>
    <w:rsid w:val="00656E50"/>
    <w:rsid w:val="00695BC5"/>
    <w:rsid w:val="006A1918"/>
    <w:rsid w:val="006C74A5"/>
    <w:rsid w:val="006C7CB9"/>
    <w:rsid w:val="006F0A3B"/>
    <w:rsid w:val="00704F56"/>
    <w:rsid w:val="00711441"/>
    <w:rsid w:val="00720AA7"/>
    <w:rsid w:val="00764EA1"/>
    <w:rsid w:val="007719CA"/>
    <w:rsid w:val="007C131D"/>
    <w:rsid w:val="007C1439"/>
    <w:rsid w:val="007C4028"/>
    <w:rsid w:val="007C7AE9"/>
    <w:rsid w:val="007D4129"/>
    <w:rsid w:val="008142B1"/>
    <w:rsid w:val="00822C40"/>
    <w:rsid w:val="00845D9B"/>
    <w:rsid w:val="00852AC5"/>
    <w:rsid w:val="00866A6B"/>
    <w:rsid w:val="008819E5"/>
    <w:rsid w:val="008936AD"/>
    <w:rsid w:val="00893CBE"/>
    <w:rsid w:val="008A3907"/>
    <w:rsid w:val="008B49EB"/>
    <w:rsid w:val="008C6D15"/>
    <w:rsid w:val="008C7328"/>
    <w:rsid w:val="008F0048"/>
    <w:rsid w:val="0090421D"/>
    <w:rsid w:val="00914D62"/>
    <w:rsid w:val="0096245B"/>
    <w:rsid w:val="00964E2B"/>
    <w:rsid w:val="00996E5E"/>
    <w:rsid w:val="009B15AF"/>
    <w:rsid w:val="009D128A"/>
    <w:rsid w:val="00A11D67"/>
    <w:rsid w:val="00A55BBE"/>
    <w:rsid w:val="00A75A2F"/>
    <w:rsid w:val="00A94767"/>
    <w:rsid w:val="00AB1FD4"/>
    <w:rsid w:val="00AB52BA"/>
    <w:rsid w:val="00AD5116"/>
    <w:rsid w:val="00AE58B1"/>
    <w:rsid w:val="00AF696B"/>
    <w:rsid w:val="00B221CA"/>
    <w:rsid w:val="00B30F61"/>
    <w:rsid w:val="00B312B7"/>
    <w:rsid w:val="00B334C5"/>
    <w:rsid w:val="00B34FD3"/>
    <w:rsid w:val="00B42AAC"/>
    <w:rsid w:val="00B43ACA"/>
    <w:rsid w:val="00B50736"/>
    <w:rsid w:val="00B52219"/>
    <w:rsid w:val="00B67DB2"/>
    <w:rsid w:val="00B83B49"/>
    <w:rsid w:val="00B90FD5"/>
    <w:rsid w:val="00BB5874"/>
    <w:rsid w:val="00BC1137"/>
    <w:rsid w:val="00BC674E"/>
    <w:rsid w:val="00BD3DF5"/>
    <w:rsid w:val="00C02FFF"/>
    <w:rsid w:val="00C05F9B"/>
    <w:rsid w:val="00C40CF0"/>
    <w:rsid w:val="00C55F40"/>
    <w:rsid w:val="00C55FB9"/>
    <w:rsid w:val="00C57E45"/>
    <w:rsid w:val="00C62E10"/>
    <w:rsid w:val="00CA49B2"/>
    <w:rsid w:val="00CF0E85"/>
    <w:rsid w:val="00CF255B"/>
    <w:rsid w:val="00D13BEC"/>
    <w:rsid w:val="00D42761"/>
    <w:rsid w:val="00D50D99"/>
    <w:rsid w:val="00D51566"/>
    <w:rsid w:val="00D62B94"/>
    <w:rsid w:val="00D91BD3"/>
    <w:rsid w:val="00D937E7"/>
    <w:rsid w:val="00DA634B"/>
    <w:rsid w:val="00DA770B"/>
    <w:rsid w:val="00DB68FF"/>
    <w:rsid w:val="00DC0B0B"/>
    <w:rsid w:val="00E04527"/>
    <w:rsid w:val="00E12AC4"/>
    <w:rsid w:val="00E172C9"/>
    <w:rsid w:val="00E31CB9"/>
    <w:rsid w:val="00E502F9"/>
    <w:rsid w:val="00E53F57"/>
    <w:rsid w:val="00E61EBA"/>
    <w:rsid w:val="00E62373"/>
    <w:rsid w:val="00F44176"/>
    <w:rsid w:val="00F51077"/>
    <w:rsid w:val="00FA4774"/>
    <w:rsid w:val="00FB1B9C"/>
    <w:rsid w:val="00FB7ECA"/>
    <w:rsid w:val="00FC3668"/>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15F467F0"/>
  <w15:docId w15:val="{854DF2F7-918A-429F-AECB-0C493086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1">
    <w:name w:val="t1"/>
    <w:basedOn w:val="Normale"/>
    <w:pPr>
      <w:spacing w:line="240" w:lineRule="atLeast"/>
    </w:pPr>
  </w:style>
  <w:style w:type="paragraph" w:customStyle="1" w:styleId="t2">
    <w:name w:val="t2"/>
    <w:basedOn w:val="Normale"/>
    <w:pPr>
      <w:spacing w:line="240" w:lineRule="atLeast"/>
    </w:pPr>
  </w:style>
  <w:style w:type="paragraph" w:customStyle="1" w:styleId="c3">
    <w:name w:val="c3"/>
    <w:basedOn w:val="Normale"/>
    <w:pPr>
      <w:spacing w:line="240" w:lineRule="atLeast"/>
      <w:jc w:val="center"/>
    </w:pPr>
  </w:style>
  <w:style w:type="paragraph" w:customStyle="1" w:styleId="p4">
    <w:name w:val="p4"/>
    <w:basedOn w:val="Normale"/>
    <w:pPr>
      <w:tabs>
        <w:tab w:val="left" w:pos="880"/>
      </w:tabs>
      <w:spacing w:line="360" w:lineRule="atLeast"/>
      <w:ind w:left="560"/>
      <w:jc w:val="both"/>
    </w:pPr>
  </w:style>
  <w:style w:type="paragraph" w:customStyle="1" w:styleId="p5">
    <w:name w:val="p5"/>
    <w:basedOn w:val="Normale"/>
    <w:pPr>
      <w:tabs>
        <w:tab w:val="left" w:pos="1780"/>
        <w:tab w:val="left" w:pos="2020"/>
      </w:tabs>
      <w:spacing w:line="240" w:lineRule="atLeast"/>
      <w:ind w:left="576" w:hanging="288"/>
      <w:jc w:val="both"/>
    </w:pPr>
  </w:style>
  <w:style w:type="paragraph" w:customStyle="1" w:styleId="p6">
    <w:name w:val="p6"/>
    <w:basedOn w:val="Normale"/>
    <w:pPr>
      <w:spacing w:line="240" w:lineRule="atLeast"/>
      <w:ind w:left="340"/>
      <w:jc w:val="both"/>
    </w:pPr>
  </w:style>
  <w:style w:type="paragraph" w:customStyle="1" w:styleId="p7">
    <w:name w:val="p7"/>
    <w:basedOn w:val="Normale"/>
    <w:pPr>
      <w:tabs>
        <w:tab w:val="left" w:pos="11040"/>
      </w:tabs>
      <w:spacing w:line="240" w:lineRule="atLeast"/>
      <w:ind w:left="9600"/>
    </w:pPr>
  </w:style>
  <w:style w:type="paragraph" w:customStyle="1" w:styleId="p8">
    <w:name w:val="p8"/>
    <w:basedOn w:val="Normale"/>
    <w:pPr>
      <w:tabs>
        <w:tab w:val="left" w:pos="11140"/>
      </w:tabs>
      <w:spacing w:line="240" w:lineRule="atLeast"/>
      <w:ind w:left="9700"/>
    </w:pPr>
  </w:style>
  <w:style w:type="paragraph" w:customStyle="1" w:styleId="p9">
    <w:name w:val="p9"/>
    <w:basedOn w:val="Normale"/>
    <w:pPr>
      <w:tabs>
        <w:tab w:val="left" w:pos="11340"/>
      </w:tabs>
      <w:spacing w:line="240" w:lineRule="atLeast"/>
      <w:ind w:left="9900"/>
    </w:pPr>
  </w:style>
  <w:style w:type="paragraph" w:customStyle="1" w:styleId="p10">
    <w:name w:val="p10"/>
    <w:basedOn w:val="Normale"/>
    <w:pPr>
      <w:tabs>
        <w:tab w:val="left" w:pos="10760"/>
      </w:tabs>
      <w:spacing w:line="240" w:lineRule="atLeast"/>
      <w:ind w:left="9320"/>
    </w:pPr>
  </w:style>
  <w:style w:type="paragraph" w:customStyle="1" w:styleId="p1">
    <w:name w:val="p1"/>
    <w:basedOn w:val="Normale"/>
    <w:pPr>
      <w:tabs>
        <w:tab w:val="left" w:pos="720"/>
      </w:tabs>
      <w:spacing w:line="360" w:lineRule="atLeast"/>
    </w:pPr>
  </w:style>
  <w:style w:type="paragraph" w:customStyle="1" w:styleId="c2">
    <w:name w:val="c2"/>
    <w:basedOn w:val="Normale"/>
    <w:pPr>
      <w:spacing w:line="240" w:lineRule="atLeast"/>
      <w:jc w:val="center"/>
    </w:pPr>
  </w:style>
  <w:style w:type="paragraph" w:customStyle="1" w:styleId="p12">
    <w:name w:val="p12"/>
    <w:basedOn w:val="Normale"/>
    <w:pPr>
      <w:tabs>
        <w:tab w:val="left" w:pos="620"/>
        <w:tab w:val="left" w:pos="1560"/>
      </w:tabs>
      <w:spacing w:line="360" w:lineRule="atLeast"/>
      <w:ind w:left="820"/>
    </w:pPr>
  </w:style>
  <w:style w:type="paragraph" w:customStyle="1" w:styleId="p3">
    <w:name w:val="p3"/>
    <w:basedOn w:val="Normale"/>
    <w:pPr>
      <w:tabs>
        <w:tab w:val="left" w:pos="620"/>
      </w:tabs>
      <w:spacing w:line="360" w:lineRule="atLeast"/>
      <w:ind w:left="820"/>
    </w:pPr>
  </w:style>
  <w:style w:type="paragraph" w:customStyle="1" w:styleId="t13">
    <w:name w:val="t13"/>
    <w:basedOn w:val="Normale"/>
    <w:pPr>
      <w:spacing w:line="240" w:lineRule="atLeast"/>
    </w:pPr>
  </w:style>
  <w:style w:type="paragraph" w:customStyle="1" w:styleId="t14">
    <w:name w:val="t14"/>
    <w:basedOn w:val="Normale"/>
    <w:pPr>
      <w:spacing w:line="240" w:lineRule="atLeast"/>
    </w:pPr>
  </w:style>
  <w:style w:type="paragraph" w:customStyle="1" w:styleId="p11">
    <w:name w:val="p11"/>
    <w:basedOn w:val="Normale"/>
    <w:pPr>
      <w:tabs>
        <w:tab w:val="left" w:pos="3420"/>
      </w:tabs>
      <w:spacing w:line="240" w:lineRule="atLeast"/>
      <w:ind w:left="1980"/>
    </w:pPr>
  </w:style>
  <w:style w:type="paragraph" w:customStyle="1" w:styleId="c23">
    <w:name w:val="c23"/>
    <w:basedOn w:val="Normale"/>
    <w:pPr>
      <w:spacing w:line="240" w:lineRule="atLeast"/>
      <w:jc w:val="center"/>
    </w:pPr>
  </w:style>
  <w:style w:type="paragraph" w:customStyle="1" w:styleId="p26">
    <w:name w:val="p26"/>
    <w:basedOn w:val="Normale"/>
    <w:pPr>
      <w:tabs>
        <w:tab w:val="left" w:pos="200"/>
      </w:tabs>
      <w:spacing w:line="360" w:lineRule="atLeast"/>
      <w:ind w:left="1240"/>
      <w:jc w:val="both"/>
    </w:pPr>
  </w:style>
  <w:style w:type="paragraph" w:customStyle="1" w:styleId="t15">
    <w:name w:val="t15"/>
    <w:basedOn w:val="Normale"/>
    <w:pPr>
      <w:spacing w:line="240" w:lineRule="atLeast"/>
    </w:pPr>
  </w:style>
  <w:style w:type="paragraph" w:customStyle="1" w:styleId="t16">
    <w:name w:val="t16"/>
    <w:basedOn w:val="Normale"/>
    <w:pPr>
      <w:spacing w:line="240" w:lineRule="atLeast"/>
    </w:pPr>
  </w:style>
  <w:style w:type="paragraph" w:customStyle="1" w:styleId="t17">
    <w:name w:val="t17"/>
    <w:basedOn w:val="Normale"/>
    <w:pPr>
      <w:spacing w:line="240" w:lineRule="atLeast"/>
    </w:pPr>
  </w:style>
  <w:style w:type="paragraph" w:customStyle="1" w:styleId="t18">
    <w:name w:val="t18"/>
    <w:basedOn w:val="Normale"/>
    <w:pPr>
      <w:spacing w:line="240" w:lineRule="atLeast"/>
    </w:pPr>
  </w:style>
  <w:style w:type="paragraph" w:customStyle="1" w:styleId="t19">
    <w:name w:val="t19"/>
    <w:basedOn w:val="Normale"/>
    <w:pPr>
      <w:spacing w:line="240" w:lineRule="atLeast"/>
    </w:pPr>
  </w:style>
  <w:style w:type="paragraph" w:customStyle="1" w:styleId="t20">
    <w:name w:val="t20"/>
    <w:basedOn w:val="Normale"/>
    <w:pPr>
      <w:spacing w:line="240" w:lineRule="atLeast"/>
    </w:pPr>
  </w:style>
  <w:style w:type="paragraph" w:customStyle="1" w:styleId="p27">
    <w:name w:val="p27"/>
    <w:basedOn w:val="Normale"/>
    <w:pPr>
      <w:tabs>
        <w:tab w:val="left" w:pos="120"/>
      </w:tabs>
      <w:spacing w:line="240" w:lineRule="atLeast"/>
      <w:ind w:left="1320"/>
      <w:jc w:val="both"/>
    </w:pPr>
  </w:style>
  <w:style w:type="paragraph" w:customStyle="1" w:styleId="t21">
    <w:name w:val="t21"/>
    <w:basedOn w:val="Normale"/>
    <w:pPr>
      <w:spacing w:line="240" w:lineRule="atLeast"/>
    </w:pPr>
  </w:style>
  <w:style w:type="paragraph" w:customStyle="1" w:styleId="t22">
    <w:name w:val="t22"/>
    <w:basedOn w:val="Normale"/>
    <w:pPr>
      <w:spacing w:line="240" w:lineRule="atLeast"/>
    </w:pPr>
  </w:style>
  <w:style w:type="paragraph" w:customStyle="1" w:styleId="p29">
    <w:name w:val="p29"/>
    <w:basedOn w:val="Normale"/>
    <w:pPr>
      <w:tabs>
        <w:tab w:val="left" w:pos="380"/>
        <w:tab w:val="left" w:pos="6200"/>
      </w:tabs>
      <w:spacing w:line="240" w:lineRule="atLeast"/>
      <w:ind w:left="4752" w:hanging="5760"/>
      <w:jc w:val="both"/>
    </w:pPr>
  </w:style>
  <w:style w:type="paragraph" w:customStyle="1" w:styleId="p30">
    <w:name w:val="p30"/>
    <w:basedOn w:val="Normale"/>
    <w:pPr>
      <w:tabs>
        <w:tab w:val="left" w:pos="8280"/>
      </w:tabs>
      <w:spacing w:line="240" w:lineRule="atLeast"/>
      <w:ind w:left="6840"/>
      <w:jc w:val="both"/>
    </w:pPr>
  </w:style>
  <w:style w:type="paragraph" w:customStyle="1" w:styleId="p31">
    <w:name w:val="p31"/>
    <w:basedOn w:val="Normale"/>
    <w:pPr>
      <w:tabs>
        <w:tab w:val="left" w:pos="2920"/>
        <w:tab w:val="left" w:pos="3320"/>
      </w:tabs>
      <w:spacing w:line="240" w:lineRule="atLeast"/>
      <w:ind w:left="1872" w:hanging="432"/>
      <w:jc w:val="both"/>
    </w:pPr>
  </w:style>
  <w:style w:type="paragraph" w:customStyle="1" w:styleId="p32">
    <w:name w:val="p32"/>
    <w:basedOn w:val="Normale"/>
    <w:pPr>
      <w:tabs>
        <w:tab w:val="left" w:pos="4820"/>
        <w:tab w:val="left" w:pos="6200"/>
      </w:tabs>
      <w:spacing w:line="240" w:lineRule="atLeast"/>
      <w:ind w:left="4752" w:hanging="1440"/>
      <w:jc w:val="both"/>
    </w:pPr>
  </w:style>
  <w:style w:type="paragraph" w:customStyle="1" w:styleId="p33">
    <w:name w:val="p33"/>
    <w:basedOn w:val="Normale"/>
    <w:pPr>
      <w:tabs>
        <w:tab w:val="left" w:pos="720"/>
      </w:tabs>
      <w:spacing w:line="240" w:lineRule="atLeast"/>
      <w:jc w:val="both"/>
    </w:pPr>
  </w:style>
  <w:style w:type="paragraph" w:customStyle="1" w:styleId="p34">
    <w:name w:val="p34"/>
    <w:basedOn w:val="Normale"/>
    <w:pPr>
      <w:tabs>
        <w:tab w:val="left" w:pos="2400"/>
      </w:tabs>
      <w:spacing w:line="240" w:lineRule="atLeast"/>
      <w:ind w:left="960"/>
      <w:jc w:val="both"/>
    </w:pPr>
  </w:style>
  <w:style w:type="paragraph" w:customStyle="1" w:styleId="t35">
    <w:name w:val="t35"/>
    <w:basedOn w:val="Normale"/>
    <w:pPr>
      <w:spacing w:line="240" w:lineRule="atLeast"/>
    </w:pPr>
  </w:style>
  <w:style w:type="paragraph" w:customStyle="1" w:styleId="t36">
    <w:name w:val="t36"/>
    <w:basedOn w:val="Normale"/>
    <w:pPr>
      <w:spacing w:line="240" w:lineRule="atLeast"/>
    </w:pPr>
  </w:style>
  <w:style w:type="paragraph" w:customStyle="1" w:styleId="p37">
    <w:name w:val="p37"/>
    <w:basedOn w:val="Normale"/>
    <w:pPr>
      <w:tabs>
        <w:tab w:val="left" w:pos="1980"/>
        <w:tab w:val="left" w:pos="2240"/>
      </w:tabs>
      <w:spacing w:line="240" w:lineRule="atLeast"/>
      <w:ind w:left="864" w:hanging="288"/>
    </w:pPr>
  </w:style>
  <w:style w:type="paragraph" w:customStyle="1" w:styleId="p39">
    <w:name w:val="p39"/>
    <w:basedOn w:val="Normale"/>
    <w:pPr>
      <w:tabs>
        <w:tab w:val="left" w:pos="900"/>
      </w:tabs>
      <w:spacing w:line="240" w:lineRule="atLeast"/>
      <w:ind w:left="576" w:hanging="864"/>
    </w:pPr>
  </w:style>
  <w:style w:type="paragraph" w:customStyle="1" w:styleId="p40">
    <w:name w:val="p40"/>
    <w:basedOn w:val="Normale"/>
    <w:pPr>
      <w:tabs>
        <w:tab w:val="left" w:pos="3220"/>
        <w:tab w:val="left" w:pos="4040"/>
      </w:tabs>
      <w:spacing w:line="240" w:lineRule="atLeast"/>
      <w:ind w:left="2592" w:hanging="864"/>
    </w:pPr>
  </w:style>
  <w:style w:type="paragraph" w:customStyle="1" w:styleId="t38">
    <w:name w:val="t38"/>
    <w:basedOn w:val="Normale"/>
    <w:pPr>
      <w:spacing w:line="240" w:lineRule="atLeast"/>
    </w:pPr>
  </w:style>
  <w:style w:type="paragraph" w:customStyle="1" w:styleId="p41">
    <w:name w:val="p41"/>
    <w:basedOn w:val="Normale"/>
    <w:pPr>
      <w:tabs>
        <w:tab w:val="left" w:pos="720"/>
      </w:tabs>
      <w:spacing w:line="240" w:lineRule="atLeast"/>
    </w:pPr>
  </w:style>
  <w:style w:type="paragraph" w:customStyle="1" w:styleId="c52">
    <w:name w:val="c52"/>
    <w:basedOn w:val="Normale"/>
    <w:pPr>
      <w:spacing w:line="240" w:lineRule="atLeast"/>
      <w:jc w:val="center"/>
    </w:pPr>
  </w:style>
  <w:style w:type="paragraph" w:customStyle="1" w:styleId="p54">
    <w:name w:val="p54"/>
    <w:basedOn w:val="Normale"/>
    <w:pPr>
      <w:tabs>
        <w:tab w:val="left" w:pos="900"/>
      </w:tabs>
      <w:spacing w:line="360" w:lineRule="atLeast"/>
      <w:ind w:left="540"/>
    </w:pPr>
  </w:style>
  <w:style w:type="paragraph" w:customStyle="1" w:styleId="p58">
    <w:name w:val="p58"/>
    <w:basedOn w:val="Normale"/>
    <w:pPr>
      <w:tabs>
        <w:tab w:val="left" w:pos="900"/>
      </w:tabs>
      <w:spacing w:line="360" w:lineRule="atLeast"/>
      <w:ind w:left="540"/>
    </w:pPr>
  </w:style>
  <w:style w:type="paragraph" w:customStyle="1" w:styleId="t42">
    <w:name w:val="t42"/>
    <w:basedOn w:val="Normale"/>
    <w:pPr>
      <w:spacing w:line="240" w:lineRule="atLeast"/>
    </w:pPr>
  </w:style>
  <w:style w:type="paragraph" w:customStyle="1" w:styleId="t43">
    <w:name w:val="t43"/>
    <w:basedOn w:val="Normale"/>
    <w:pPr>
      <w:spacing w:line="360" w:lineRule="atLeast"/>
    </w:pPr>
  </w:style>
  <w:style w:type="paragraph" w:customStyle="1" w:styleId="t44">
    <w:name w:val="t44"/>
    <w:basedOn w:val="Normale"/>
    <w:pPr>
      <w:spacing w:line="240" w:lineRule="atLeast"/>
    </w:pPr>
  </w:style>
  <w:style w:type="paragraph" w:customStyle="1" w:styleId="t45">
    <w:name w:val="t45"/>
    <w:basedOn w:val="Normale"/>
    <w:pPr>
      <w:spacing w:line="220" w:lineRule="atLeast"/>
    </w:pPr>
  </w:style>
  <w:style w:type="paragraph" w:customStyle="1" w:styleId="t46">
    <w:name w:val="t46"/>
    <w:basedOn w:val="Normale"/>
    <w:pPr>
      <w:spacing w:line="240" w:lineRule="atLeast"/>
    </w:pPr>
  </w:style>
  <w:style w:type="paragraph" w:customStyle="1" w:styleId="t47">
    <w:name w:val="t47"/>
    <w:basedOn w:val="Normale"/>
    <w:pPr>
      <w:spacing w:line="240" w:lineRule="atLeast"/>
    </w:pPr>
  </w:style>
  <w:style w:type="paragraph" w:customStyle="1" w:styleId="t59">
    <w:name w:val="t59"/>
    <w:basedOn w:val="Normale"/>
    <w:pPr>
      <w:spacing w:line="240" w:lineRule="atLeast"/>
    </w:pPr>
  </w:style>
  <w:style w:type="paragraph" w:customStyle="1" w:styleId="t48">
    <w:name w:val="t48"/>
    <w:basedOn w:val="Normale"/>
    <w:pPr>
      <w:spacing w:line="240" w:lineRule="atLeast"/>
    </w:pPr>
  </w:style>
  <w:style w:type="paragraph" w:customStyle="1" w:styleId="t49">
    <w:name w:val="t49"/>
    <w:basedOn w:val="Normale"/>
    <w:pPr>
      <w:spacing w:line="240" w:lineRule="atLeast"/>
    </w:pPr>
  </w:style>
  <w:style w:type="paragraph" w:customStyle="1" w:styleId="t50">
    <w:name w:val="t50"/>
    <w:basedOn w:val="Normale"/>
    <w:pPr>
      <w:spacing w:line="240" w:lineRule="atLeast"/>
    </w:pPr>
  </w:style>
  <w:style w:type="paragraph" w:customStyle="1" w:styleId="p57">
    <w:name w:val="p57"/>
    <w:basedOn w:val="Normale"/>
    <w:pPr>
      <w:tabs>
        <w:tab w:val="left" w:pos="6120"/>
      </w:tabs>
      <w:spacing w:line="240" w:lineRule="atLeast"/>
      <w:ind w:left="4752" w:hanging="864"/>
    </w:pPr>
  </w:style>
  <w:style w:type="paragraph" w:customStyle="1" w:styleId="t51">
    <w:name w:val="t51"/>
    <w:basedOn w:val="Normale"/>
    <w:pPr>
      <w:spacing w:line="240" w:lineRule="atLeast"/>
    </w:pPr>
  </w:style>
  <w:style w:type="paragraph" w:customStyle="1" w:styleId="t60">
    <w:name w:val="t60"/>
    <w:basedOn w:val="Normale"/>
    <w:pPr>
      <w:spacing w:line="120" w:lineRule="atLeast"/>
    </w:pPr>
  </w:style>
  <w:style w:type="paragraph" w:customStyle="1" w:styleId="t61">
    <w:name w:val="t61"/>
    <w:basedOn w:val="Normale"/>
    <w:pPr>
      <w:spacing w:line="240" w:lineRule="atLeast"/>
    </w:pPr>
  </w:style>
  <w:style w:type="paragraph" w:customStyle="1" w:styleId="t62">
    <w:name w:val="t62"/>
    <w:basedOn w:val="Normale"/>
    <w:pPr>
      <w:spacing w:line="240" w:lineRule="atLeast"/>
    </w:pPr>
  </w:style>
  <w:style w:type="paragraph" w:customStyle="1" w:styleId="t63">
    <w:name w:val="t63"/>
    <w:basedOn w:val="Normale"/>
    <w:pPr>
      <w:spacing w:line="260" w:lineRule="atLeast"/>
    </w:pPr>
  </w:style>
  <w:style w:type="paragraph" w:customStyle="1" w:styleId="t64">
    <w:name w:val="t64"/>
    <w:basedOn w:val="Normale"/>
    <w:pPr>
      <w:spacing w:line="240" w:lineRule="atLeast"/>
    </w:pPr>
  </w:style>
  <w:style w:type="paragraph" w:customStyle="1" w:styleId="p65">
    <w:name w:val="p65"/>
    <w:basedOn w:val="Normale"/>
    <w:pPr>
      <w:tabs>
        <w:tab w:val="left" w:pos="1240"/>
        <w:tab w:val="left" w:pos="2240"/>
      </w:tabs>
      <w:spacing w:line="240" w:lineRule="atLeast"/>
      <w:ind w:left="864" w:hanging="1008"/>
    </w:pPr>
  </w:style>
  <w:style w:type="paragraph" w:customStyle="1" w:styleId="p70">
    <w:name w:val="p70"/>
    <w:basedOn w:val="Normale"/>
    <w:pPr>
      <w:spacing w:line="240" w:lineRule="atLeast"/>
      <w:ind w:left="540"/>
    </w:pPr>
  </w:style>
  <w:style w:type="paragraph" w:customStyle="1" w:styleId="p71">
    <w:name w:val="p71"/>
    <w:basedOn w:val="Normale"/>
    <w:pPr>
      <w:tabs>
        <w:tab w:val="left" w:pos="7620"/>
      </w:tabs>
      <w:spacing w:line="240" w:lineRule="atLeast"/>
      <w:ind w:left="6192" w:hanging="7632"/>
    </w:pPr>
  </w:style>
  <w:style w:type="paragraph" w:customStyle="1" w:styleId="t74">
    <w:name w:val="t74"/>
    <w:basedOn w:val="Normale"/>
    <w:pPr>
      <w:spacing w:line="240" w:lineRule="atLeast"/>
    </w:pPr>
  </w:style>
  <w:style w:type="paragraph" w:customStyle="1" w:styleId="t66">
    <w:name w:val="t66"/>
    <w:basedOn w:val="Normale"/>
    <w:pPr>
      <w:spacing w:line="240" w:lineRule="atLeast"/>
    </w:pPr>
  </w:style>
  <w:style w:type="paragraph" w:customStyle="1" w:styleId="t67">
    <w:name w:val="t67"/>
    <w:basedOn w:val="Normale"/>
    <w:pPr>
      <w:spacing w:line="160" w:lineRule="atLeast"/>
    </w:pPr>
  </w:style>
  <w:style w:type="paragraph" w:customStyle="1" w:styleId="t68">
    <w:name w:val="t68"/>
    <w:basedOn w:val="Normale"/>
    <w:pPr>
      <w:spacing w:line="240" w:lineRule="atLeast"/>
    </w:pPr>
  </w:style>
  <w:style w:type="paragraph" w:customStyle="1" w:styleId="p73">
    <w:name w:val="p73"/>
    <w:basedOn w:val="Normale"/>
    <w:pPr>
      <w:tabs>
        <w:tab w:val="left" w:pos="9460"/>
      </w:tabs>
      <w:spacing w:line="360" w:lineRule="atLeast"/>
    </w:pPr>
  </w:style>
  <w:style w:type="paragraph" w:customStyle="1" w:styleId="p75">
    <w:name w:val="p75"/>
    <w:basedOn w:val="Normale"/>
    <w:pPr>
      <w:tabs>
        <w:tab w:val="left" w:pos="3240"/>
      </w:tabs>
      <w:spacing w:line="240" w:lineRule="atLeast"/>
      <w:ind w:left="1800"/>
    </w:pPr>
  </w:style>
  <w:style w:type="paragraph" w:customStyle="1" w:styleId="p76">
    <w:name w:val="p76"/>
    <w:basedOn w:val="Normale"/>
    <w:pPr>
      <w:tabs>
        <w:tab w:val="left" w:pos="720"/>
      </w:tabs>
      <w:spacing w:line="360" w:lineRule="atLeast"/>
    </w:pPr>
  </w:style>
  <w:style w:type="paragraph" w:customStyle="1" w:styleId="p78">
    <w:name w:val="p78"/>
    <w:basedOn w:val="Normale"/>
    <w:pPr>
      <w:tabs>
        <w:tab w:val="left" w:pos="720"/>
      </w:tabs>
      <w:spacing w:line="360" w:lineRule="atLeast"/>
    </w:pPr>
  </w:style>
  <w:style w:type="paragraph" w:customStyle="1" w:styleId="c69">
    <w:name w:val="c69"/>
    <w:basedOn w:val="Normale"/>
    <w:pPr>
      <w:spacing w:line="240" w:lineRule="atLeast"/>
      <w:jc w:val="center"/>
    </w:pPr>
  </w:style>
  <w:style w:type="paragraph" w:customStyle="1" w:styleId="p24">
    <w:name w:val="p24"/>
    <w:basedOn w:val="Normale"/>
    <w:pPr>
      <w:tabs>
        <w:tab w:val="left" w:pos="720"/>
      </w:tabs>
      <w:spacing w:line="360" w:lineRule="atLeast"/>
      <w:jc w:val="both"/>
    </w:pPr>
  </w:style>
  <w:style w:type="paragraph" w:customStyle="1" w:styleId="p81">
    <w:name w:val="p81"/>
    <w:basedOn w:val="Normale"/>
    <w:pPr>
      <w:tabs>
        <w:tab w:val="left" w:pos="11020"/>
      </w:tabs>
      <w:spacing w:line="240" w:lineRule="atLeast"/>
      <w:ind w:left="9580"/>
      <w:jc w:val="both"/>
    </w:pPr>
  </w:style>
  <w:style w:type="paragraph" w:customStyle="1" w:styleId="p82">
    <w:name w:val="p82"/>
    <w:basedOn w:val="Normale"/>
    <w:pPr>
      <w:tabs>
        <w:tab w:val="left" w:pos="620"/>
      </w:tabs>
      <w:spacing w:line="360" w:lineRule="atLeast"/>
      <w:ind w:left="820"/>
      <w:jc w:val="both"/>
    </w:pPr>
  </w:style>
  <w:style w:type="paragraph" w:customStyle="1" w:styleId="p84">
    <w:name w:val="p84"/>
    <w:basedOn w:val="Normale"/>
    <w:pPr>
      <w:tabs>
        <w:tab w:val="left" w:pos="660"/>
      </w:tabs>
      <w:spacing w:line="360" w:lineRule="atLeast"/>
      <w:ind w:left="720" w:hanging="144"/>
      <w:jc w:val="both"/>
    </w:pPr>
  </w:style>
  <w:style w:type="paragraph" w:customStyle="1" w:styleId="t79">
    <w:name w:val="t79"/>
    <w:basedOn w:val="Normale"/>
    <w:pPr>
      <w:spacing w:line="240" w:lineRule="atLeast"/>
    </w:pPr>
  </w:style>
  <w:style w:type="paragraph" w:customStyle="1" w:styleId="t80">
    <w:name w:val="t80"/>
    <w:basedOn w:val="Normale"/>
    <w:pPr>
      <w:spacing w:line="240" w:lineRule="atLeast"/>
    </w:pPr>
  </w:style>
  <w:style w:type="paragraph" w:customStyle="1" w:styleId="p86">
    <w:name w:val="p86"/>
    <w:basedOn w:val="Normale"/>
    <w:pPr>
      <w:spacing w:line="200" w:lineRule="atLeast"/>
      <w:jc w:val="both"/>
    </w:pPr>
  </w:style>
  <w:style w:type="paragraph" w:customStyle="1" w:styleId="p85">
    <w:name w:val="p85"/>
    <w:basedOn w:val="Normale"/>
    <w:pPr>
      <w:spacing w:line="360" w:lineRule="atLeast"/>
      <w:ind w:left="720" w:hanging="720"/>
      <w:jc w:val="both"/>
    </w:pPr>
  </w:style>
  <w:style w:type="paragraph" w:customStyle="1" w:styleId="p87">
    <w:name w:val="p87"/>
    <w:basedOn w:val="Normale"/>
    <w:pPr>
      <w:spacing w:line="200" w:lineRule="atLeast"/>
      <w:ind w:left="1440" w:firstLine="720"/>
      <w:jc w:val="both"/>
    </w:pPr>
  </w:style>
  <w:style w:type="paragraph" w:customStyle="1" w:styleId="p88">
    <w:name w:val="p88"/>
    <w:basedOn w:val="Normale"/>
    <w:pPr>
      <w:tabs>
        <w:tab w:val="left" w:pos="720"/>
      </w:tabs>
      <w:spacing w:line="360" w:lineRule="atLeast"/>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Corpodeltesto">
    <w:name w:val="Corpo del testo"/>
    <w:basedOn w:val="Normale"/>
    <w:pPr>
      <w:jc w:val="both"/>
    </w:pPr>
    <w:rPr>
      <w:sz w:val="26"/>
    </w:rPr>
  </w:style>
  <w:style w:type="paragraph" w:styleId="Testonotaapidipagina">
    <w:name w:val="footnote text"/>
    <w:basedOn w:val="Normale"/>
    <w:semiHidden/>
    <w:rsid w:val="00C55F40"/>
    <w:rPr>
      <w:sz w:val="20"/>
    </w:rPr>
  </w:style>
  <w:style w:type="character" w:styleId="Rimandonotaapidipagina">
    <w:name w:val="footnote reference"/>
    <w:semiHidden/>
    <w:rsid w:val="00C55F40"/>
    <w:rPr>
      <w:vertAlign w:val="superscript"/>
    </w:rPr>
  </w:style>
  <w:style w:type="character" w:styleId="Collegamentoipertestuale">
    <w:name w:val="Hyperlink"/>
    <w:rsid w:val="00BD3DF5"/>
    <w:rPr>
      <w:color w:val="0000FF"/>
      <w:u w:val="single"/>
    </w:rPr>
  </w:style>
  <w:style w:type="paragraph" w:styleId="Intestazione">
    <w:name w:val="header"/>
    <w:basedOn w:val="Normale"/>
    <w:link w:val="IntestazioneCarattere"/>
    <w:uiPriority w:val="99"/>
    <w:rsid w:val="00914D62"/>
    <w:pPr>
      <w:tabs>
        <w:tab w:val="center" w:pos="4819"/>
        <w:tab w:val="right" w:pos="9638"/>
      </w:tabs>
    </w:pPr>
  </w:style>
  <w:style w:type="character" w:customStyle="1" w:styleId="IntestazioneCarattere">
    <w:name w:val="Intestazione Carattere"/>
    <w:link w:val="Intestazione"/>
    <w:uiPriority w:val="99"/>
    <w:rsid w:val="00914D62"/>
    <w:rPr>
      <w:sz w:val="24"/>
    </w:rPr>
  </w:style>
  <w:style w:type="paragraph" w:styleId="Testofumetto">
    <w:name w:val="Balloon Text"/>
    <w:basedOn w:val="Normale"/>
    <w:link w:val="TestofumettoCarattere"/>
    <w:rsid w:val="00E31CB9"/>
    <w:rPr>
      <w:rFonts w:ascii="Tahoma" w:hAnsi="Tahoma" w:cs="Tahoma"/>
      <w:sz w:val="16"/>
      <w:szCs w:val="16"/>
    </w:rPr>
  </w:style>
  <w:style w:type="character" w:customStyle="1" w:styleId="TestofumettoCarattere">
    <w:name w:val="Testo fumetto Carattere"/>
    <w:basedOn w:val="Carpredefinitoparagrafo"/>
    <w:link w:val="Testofumetto"/>
    <w:rsid w:val="00E31CB9"/>
    <w:rPr>
      <w:rFonts w:ascii="Tahoma" w:hAnsi="Tahoma" w:cs="Tahoma"/>
      <w:sz w:val="16"/>
      <w:szCs w:val="16"/>
    </w:rPr>
  </w:style>
  <w:style w:type="character" w:styleId="Menzionenonrisolta">
    <w:name w:val="Unresolved Mention"/>
    <w:basedOn w:val="Carpredefinitoparagrafo"/>
    <w:uiPriority w:val="99"/>
    <w:semiHidden/>
    <w:unhideWhenUsed/>
    <w:rsid w:val="0065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tmp"/></Relationships>
</file>

<file path=word/_rels/footnotes.xml.rels><?xml version="1.0" encoding="UTF-8" standalone="yes"?>
<Relationships xmlns="http://schemas.openxmlformats.org/package/2006/relationships"><Relationship Id="rId1" Type="http://schemas.openxmlformats.org/officeDocument/2006/relationships/hyperlink" Target="https://www.rothbard.it/teoria/austriaci-vs-monetaristi.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7779-EF2E-4520-B7B3-F964CCF7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3556</Words>
  <Characters>20271</Characters>
  <Application>Microsoft Office Word</Application>
  <DocSecurity>0</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IL MONETARISMO</vt:lpstr>
      <vt:lpstr>                                                   IL MONETARISMO</vt:lpstr>
    </vt:vector>
  </TitlesOfParts>
  <Company> </Company>
  <LinksUpToDate>false</LinksUpToDate>
  <CharactersWithSpaces>23780</CharactersWithSpaces>
  <SharedDoc>false</SharedDoc>
  <HLinks>
    <vt:vector size="6" baseType="variant">
      <vt:variant>
        <vt:i4>6684784</vt:i4>
      </vt:variant>
      <vt:variant>
        <vt:i4>0</vt:i4>
      </vt:variant>
      <vt:variant>
        <vt:i4>0</vt:i4>
      </vt:variant>
      <vt:variant>
        <vt:i4>5</vt:i4>
      </vt:variant>
      <vt:variant>
        <vt:lpwstr>http://rothbard.altervista.org/teoria/austriaci-vs-monetaristi.doc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MONETARISMO</dc:title>
  <dc:subject/>
  <dc:creator>Piero Vernaglione Utente del Aptiva IBM</dc:creator>
  <cp:keywords/>
  <dc:description/>
  <cp:lastModifiedBy>Piero Vernaglione</cp:lastModifiedBy>
  <cp:revision>7</cp:revision>
  <dcterms:created xsi:type="dcterms:W3CDTF">2015-04-06T17:34:00Z</dcterms:created>
  <dcterms:modified xsi:type="dcterms:W3CDTF">2023-07-03T14:36:00Z</dcterms:modified>
</cp:coreProperties>
</file>